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20"/>
        <w:gridCol w:w="1940"/>
        <w:gridCol w:w="7120"/>
      </w:tblGrid>
      <w:tr w:rsidR="00EB7C9B" w:rsidTr="000E12E0">
        <w:trPr>
          <w:trHeight w:val="243"/>
        </w:trPr>
        <w:tc>
          <w:tcPr>
            <w:tcW w:w="20" w:type="dxa"/>
            <w:vAlign w:val="bottom"/>
          </w:tcPr>
          <w:p w:rsidR="00EB7C9B" w:rsidRDefault="00EB7C9B" w:rsidP="000E12E0">
            <w:pPr>
              <w:rPr>
                <w:sz w:val="21"/>
                <w:szCs w:val="21"/>
              </w:rPr>
            </w:pPr>
          </w:p>
        </w:tc>
        <w:tc>
          <w:tcPr>
            <w:tcW w:w="1940" w:type="dxa"/>
            <w:vAlign w:val="bottom"/>
          </w:tcPr>
          <w:p w:rsidR="00EB7C9B" w:rsidRDefault="00EB7C9B" w:rsidP="000E12E0">
            <w:pPr>
              <w:ind w:left="100"/>
              <w:rPr>
                <w:sz w:val="20"/>
                <w:szCs w:val="20"/>
              </w:rPr>
            </w:pPr>
            <w:r>
              <w:rPr>
                <w:rFonts w:ascii="Verdana" w:eastAsia="Verdana" w:hAnsi="Verdana" w:cs="Verdana"/>
                <w:sz w:val="20"/>
                <w:szCs w:val="20"/>
              </w:rPr>
              <w:t>Motion</w:t>
            </w:r>
          </w:p>
        </w:tc>
        <w:tc>
          <w:tcPr>
            <w:tcW w:w="7120" w:type="dxa"/>
            <w:vAlign w:val="bottom"/>
          </w:tcPr>
          <w:p w:rsidR="00EB7C9B" w:rsidRDefault="00EB7C9B" w:rsidP="000E12E0">
            <w:pPr>
              <w:ind w:left="280"/>
              <w:rPr>
                <w:sz w:val="20"/>
                <w:szCs w:val="20"/>
              </w:rPr>
            </w:pPr>
            <w:r>
              <w:rPr>
                <w:rFonts w:ascii="Verdana" w:eastAsia="Verdana" w:hAnsi="Verdana" w:cs="Verdana"/>
                <w:b/>
                <w:bCs/>
                <w:sz w:val="20"/>
                <w:szCs w:val="20"/>
              </w:rPr>
              <w:t>UD111</w:t>
            </w:r>
          </w:p>
        </w:tc>
      </w:tr>
      <w:tr w:rsidR="00EB7C9B" w:rsidTr="000E12E0">
        <w:trPr>
          <w:trHeight w:val="224"/>
        </w:trPr>
        <w:tc>
          <w:tcPr>
            <w:tcW w:w="20" w:type="dxa"/>
            <w:vAlign w:val="bottom"/>
          </w:tcPr>
          <w:p w:rsidR="00EB7C9B" w:rsidRDefault="00EB7C9B" w:rsidP="000E12E0">
            <w:pPr>
              <w:rPr>
                <w:sz w:val="19"/>
                <w:szCs w:val="19"/>
              </w:rPr>
            </w:pPr>
          </w:p>
        </w:tc>
        <w:tc>
          <w:tcPr>
            <w:tcW w:w="1940" w:type="dxa"/>
            <w:tcBorders>
              <w:bottom w:val="single" w:sz="8" w:space="0" w:color="4BACC6"/>
            </w:tcBorders>
            <w:vAlign w:val="bottom"/>
          </w:tcPr>
          <w:p w:rsidR="00EB7C9B" w:rsidRDefault="00EB7C9B" w:rsidP="000E12E0">
            <w:pPr>
              <w:rPr>
                <w:sz w:val="19"/>
                <w:szCs w:val="19"/>
              </w:rPr>
            </w:pPr>
          </w:p>
        </w:tc>
        <w:tc>
          <w:tcPr>
            <w:tcW w:w="7120" w:type="dxa"/>
            <w:tcBorders>
              <w:bottom w:val="single" w:sz="8" w:space="0" w:color="4BACC6"/>
            </w:tcBorders>
            <w:vAlign w:val="bottom"/>
          </w:tcPr>
          <w:p w:rsidR="00EB7C9B" w:rsidRDefault="00EB7C9B" w:rsidP="000E12E0">
            <w:pPr>
              <w:rPr>
                <w:sz w:val="19"/>
                <w:szCs w:val="19"/>
              </w:rPr>
            </w:pPr>
          </w:p>
        </w:tc>
      </w:tr>
      <w:tr w:rsidR="00EB7C9B" w:rsidTr="000E12E0">
        <w:trPr>
          <w:trHeight w:val="332"/>
        </w:trPr>
        <w:tc>
          <w:tcPr>
            <w:tcW w:w="20" w:type="dxa"/>
            <w:vAlign w:val="bottom"/>
          </w:tcPr>
          <w:p w:rsidR="00EB7C9B" w:rsidRDefault="00EB7C9B" w:rsidP="000E12E0">
            <w:pPr>
              <w:rPr>
                <w:sz w:val="24"/>
                <w:szCs w:val="24"/>
              </w:rPr>
            </w:pPr>
          </w:p>
        </w:tc>
        <w:tc>
          <w:tcPr>
            <w:tcW w:w="1940" w:type="dxa"/>
            <w:vAlign w:val="bottom"/>
          </w:tcPr>
          <w:p w:rsidR="00EB7C9B" w:rsidRDefault="00EB7C9B" w:rsidP="000E12E0">
            <w:pPr>
              <w:ind w:left="100"/>
              <w:rPr>
                <w:sz w:val="20"/>
                <w:szCs w:val="20"/>
              </w:rPr>
            </w:pPr>
            <w:r>
              <w:rPr>
                <w:rFonts w:ascii="Verdana" w:eastAsia="Verdana" w:hAnsi="Verdana" w:cs="Verdana"/>
                <w:sz w:val="20"/>
                <w:szCs w:val="20"/>
              </w:rPr>
              <w:t>Title</w:t>
            </w:r>
          </w:p>
        </w:tc>
        <w:tc>
          <w:tcPr>
            <w:tcW w:w="7120" w:type="dxa"/>
            <w:vAlign w:val="bottom"/>
          </w:tcPr>
          <w:p w:rsidR="00EB7C9B" w:rsidRDefault="00EB7C9B" w:rsidP="000E12E0">
            <w:pPr>
              <w:ind w:left="280"/>
              <w:rPr>
                <w:sz w:val="20"/>
                <w:szCs w:val="20"/>
              </w:rPr>
            </w:pPr>
            <w:r>
              <w:rPr>
                <w:rFonts w:ascii="Verdana" w:eastAsia="Verdana" w:hAnsi="Verdana" w:cs="Verdana"/>
                <w:b/>
                <w:bCs/>
                <w:color w:val="00AEC7"/>
                <w:sz w:val="20"/>
                <w:szCs w:val="20"/>
              </w:rPr>
              <w:t>Defending Freedom of Speech</w:t>
            </w:r>
          </w:p>
        </w:tc>
      </w:tr>
      <w:tr w:rsidR="00EB7C9B" w:rsidTr="000E12E0">
        <w:trPr>
          <w:trHeight w:val="224"/>
        </w:trPr>
        <w:tc>
          <w:tcPr>
            <w:tcW w:w="20" w:type="dxa"/>
            <w:vAlign w:val="bottom"/>
          </w:tcPr>
          <w:p w:rsidR="00EB7C9B" w:rsidRDefault="00EB7C9B" w:rsidP="000E12E0">
            <w:pPr>
              <w:rPr>
                <w:sz w:val="19"/>
                <w:szCs w:val="19"/>
              </w:rPr>
            </w:pPr>
          </w:p>
        </w:tc>
        <w:tc>
          <w:tcPr>
            <w:tcW w:w="1940" w:type="dxa"/>
            <w:tcBorders>
              <w:bottom w:val="single" w:sz="8" w:space="0" w:color="4BACC6"/>
            </w:tcBorders>
            <w:vAlign w:val="bottom"/>
          </w:tcPr>
          <w:p w:rsidR="00EB7C9B" w:rsidRDefault="00EB7C9B" w:rsidP="000E12E0">
            <w:pPr>
              <w:rPr>
                <w:sz w:val="19"/>
                <w:szCs w:val="19"/>
              </w:rPr>
            </w:pPr>
          </w:p>
        </w:tc>
        <w:tc>
          <w:tcPr>
            <w:tcW w:w="7120" w:type="dxa"/>
            <w:tcBorders>
              <w:bottom w:val="single" w:sz="8" w:space="0" w:color="4BACC6"/>
            </w:tcBorders>
            <w:vAlign w:val="bottom"/>
          </w:tcPr>
          <w:p w:rsidR="00EB7C9B" w:rsidRDefault="00EB7C9B" w:rsidP="000E12E0">
            <w:pPr>
              <w:rPr>
                <w:sz w:val="19"/>
                <w:szCs w:val="19"/>
              </w:rPr>
            </w:pPr>
          </w:p>
        </w:tc>
      </w:tr>
      <w:tr w:rsidR="00EB7C9B" w:rsidTr="000E12E0">
        <w:trPr>
          <w:trHeight w:val="334"/>
        </w:trPr>
        <w:tc>
          <w:tcPr>
            <w:tcW w:w="20" w:type="dxa"/>
            <w:vAlign w:val="bottom"/>
          </w:tcPr>
          <w:p w:rsidR="00EB7C9B" w:rsidRDefault="00EB7C9B" w:rsidP="000E12E0">
            <w:pPr>
              <w:rPr>
                <w:sz w:val="24"/>
                <w:szCs w:val="24"/>
              </w:rPr>
            </w:pPr>
          </w:p>
        </w:tc>
        <w:tc>
          <w:tcPr>
            <w:tcW w:w="1940" w:type="dxa"/>
            <w:vAlign w:val="bottom"/>
          </w:tcPr>
          <w:p w:rsidR="00EB7C9B" w:rsidRDefault="00EB7C9B" w:rsidP="000E12E0">
            <w:pPr>
              <w:ind w:left="100"/>
              <w:rPr>
                <w:sz w:val="20"/>
                <w:szCs w:val="20"/>
              </w:rPr>
            </w:pPr>
            <w:r>
              <w:rPr>
                <w:rFonts w:ascii="Verdana" w:eastAsia="Verdana" w:hAnsi="Verdana" w:cs="Verdana"/>
                <w:sz w:val="20"/>
                <w:szCs w:val="20"/>
              </w:rPr>
              <w:t>Submitted by</w:t>
            </w:r>
          </w:p>
        </w:tc>
        <w:tc>
          <w:tcPr>
            <w:tcW w:w="7120" w:type="dxa"/>
            <w:vAlign w:val="bottom"/>
          </w:tcPr>
          <w:p w:rsidR="00EB7C9B" w:rsidRDefault="00EB7C9B" w:rsidP="000E12E0">
            <w:pPr>
              <w:ind w:left="280"/>
              <w:rPr>
                <w:sz w:val="20"/>
                <w:szCs w:val="20"/>
              </w:rPr>
            </w:pPr>
            <w:r>
              <w:rPr>
                <w:rFonts w:ascii="Verdana" w:eastAsia="Verdana" w:hAnsi="Verdana" w:cs="Verdana"/>
                <w:sz w:val="20"/>
                <w:szCs w:val="20"/>
              </w:rPr>
              <w:t>Goldsmiths Students’ Union, Black Students Campaign Committee</w:t>
            </w:r>
          </w:p>
        </w:tc>
      </w:tr>
      <w:tr w:rsidR="00EB7C9B" w:rsidTr="000E12E0">
        <w:trPr>
          <w:trHeight w:val="224"/>
        </w:trPr>
        <w:tc>
          <w:tcPr>
            <w:tcW w:w="20" w:type="dxa"/>
            <w:vAlign w:val="bottom"/>
          </w:tcPr>
          <w:p w:rsidR="00EB7C9B" w:rsidRDefault="00EB7C9B" w:rsidP="000E12E0">
            <w:pPr>
              <w:rPr>
                <w:sz w:val="19"/>
                <w:szCs w:val="19"/>
              </w:rPr>
            </w:pPr>
          </w:p>
        </w:tc>
        <w:tc>
          <w:tcPr>
            <w:tcW w:w="1940" w:type="dxa"/>
            <w:tcBorders>
              <w:bottom w:val="single" w:sz="8" w:space="0" w:color="4BACC6"/>
            </w:tcBorders>
            <w:vAlign w:val="bottom"/>
          </w:tcPr>
          <w:p w:rsidR="00EB7C9B" w:rsidRDefault="00EB7C9B" w:rsidP="000E12E0">
            <w:pPr>
              <w:rPr>
                <w:sz w:val="19"/>
                <w:szCs w:val="19"/>
              </w:rPr>
            </w:pPr>
          </w:p>
        </w:tc>
        <w:tc>
          <w:tcPr>
            <w:tcW w:w="7120" w:type="dxa"/>
            <w:tcBorders>
              <w:bottom w:val="single" w:sz="8" w:space="0" w:color="4BACC6"/>
            </w:tcBorders>
            <w:vAlign w:val="bottom"/>
          </w:tcPr>
          <w:p w:rsidR="00EB7C9B" w:rsidRDefault="00EB7C9B" w:rsidP="000E12E0">
            <w:pPr>
              <w:rPr>
                <w:sz w:val="19"/>
                <w:szCs w:val="19"/>
              </w:rPr>
            </w:pPr>
          </w:p>
        </w:tc>
      </w:tr>
      <w:tr w:rsidR="00EB7C9B" w:rsidTr="000E12E0">
        <w:trPr>
          <w:trHeight w:val="332"/>
        </w:trPr>
        <w:tc>
          <w:tcPr>
            <w:tcW w:w="20" w:type="dxa"/>
            <w:vAlign w:val="bottom"/>
          </w:tcPr>
          <w:p w:rsidR="00EB7C9B" w:rsidRDefault="00EB7C9B" w:rsidP="000E12E0">
            <w:pPr>
              <w:rPr>
                <w:sz w:val="24"/>
                <w:szCs w:val="24"/>
              </w:rPr>
            </w:pPr>
          </w:p>
        </w:tc>
        <w:tc>
          <w:tcPr>
            <w:tcW w:w="1940" w:type="dxa"/>
            <w:vAlign w:val="bottom"/>
          </w:tcPr>
          <w:p w:rsidR="00EB7C9B" w:rsidRDefault="00EB7C9B" w:rsidP="000E12E0">
            <w:pPr>
              <w:ind w:left="100"/>
              <w:rPr>
                <w:sz w:val="20"/>
                <w:szCs w:val="20"/>
              </w:rPr>
            </w:pPr>
            <w:r>
              <w:rPr>
                <w:rFonts w:ascii="Verdana" w:eastAsia="Verdana" w:hAnsi="Verdana" w:cs="Verdana"/>
                <w:sz w:val="20"/>
                <w:szCs w:val="20"/>
              </w:rPr>
              <w:t>Speech For</w:t>
            </w:r>
          </w:p>
        </w:tc>
        <w:tc>
          <w:tcPr>
            <w:tcW w:w="7120" w:type="dxa"/>
            <w:vAlign w:val="bottom"/>
          </w:tcPr>
          <w:p w:rsidR="00EB7C9B" w:rsidRDefault="00EB7C9B" w:rsidP="000E12E0">
            <w:pPr>
              <w:ind w:left="280"/>
              <w:rPr>
                <w:sz w:val="20"/>
                <w:szCs w:val="20"/>
              </w:rPr>
            </w:pPr>
            <w:r>
              <w:rPr>
                <w:rFonts w:ascii="Verdana" w:eastAsia="Verdana" w:hAnsi="Verdana" w:cs="Verdana"/>
                <w:sz w:val="20"/>
                <w:szCs w:val="20"/>
              </w:rPr>
              <w:t>Goldsmiths Students’ Union</w:t>
            </w:r>
          </w:p>
        </w:tc>
      </w:tr>
      <w:tr w:rsidR="00EB7C9B" w:rsidTr="000E12E0">
        <w:trPr>
          <w:trHeight w:val="224"/>
        </w:trPr>
        <w:tc>
          <w:tcPr>
            <w:tcW w:w="20" w:type="dxa"/>
            <w:vAlign w:val="bottom"/>
          </w:tcPr>
          <w:p w:rsidR="00EB7C9B" w:rsidRDefault="00EB7C9B" w:rsidP="000E12E0">
            <w:pPr>
              <w:rPr>
                <w:sz w:val="19"/>
                <w:szCs w:val="19"/>
              </w:rPr>
            </w:pPr>
          </w:p>
        </w:tc>
        <w:tc>
          <w:tcPr>
            <w:tcW w:w="1940" w:type="dxa"/>
            <w:tcBorders>
              <w:bottom w:val="single" w:sz="8" w:space="0" w:color="4BACC6"/>
            </w:tcBorders>
            <w:vAlign w:val="bottom"/>
          </w:tcPr>
          <w:p w:rsidR="00EB7C9B" w:rsidRDefault="00EB7C9B" w:rsidP="000E12E0">
            <w:pPr>
              <w:rPr>
                <w:sz w:val="19"/>
                <w:szCs w:val="19"/>
              </w:rPr>
            </w:pPr>
          </w:p>
        </w:tc>
        <w:tc>
          <w:tcPr>
            <w:tcW w:w="7120" w:type="dxa"/>
            <w:tcBorders>
              <w:bottom w:val="single" w:sz="8" w:space="0" w:color="4BACC6"/>
            </w:tcBorders>
            <w:vAlign w:val="bottom"/>
          </w:tcPr>
          <w:p w:rsidR="00EB7C9B" w:rsidRDefault="00EB7C9B" w:rsidP="000E12E0">
            <w:pPr>
              <w:rPr>
                <w:sz w:val="19"/>
                <w:szCs w:val="19"/>
              </w:rPr>
            </w:pPr>
          </w:p>
        </w:tc>
      </w:tr>
      <w:tr w:rsidR="00EB7C9B" w:rsidTr="000E12E0">
        <w:trPr>
          <w:trHeight w:val="334"/>
        </w:trPr>
        <w:tc>
          <w:tcPr>
            <w:tcW w:w="20" w:type="dxa"/>
            <w:vAlign w:val="bottom"/>
          </w:tcPr>
          <w:p w:rsidR="00EB7C9B" w:rsidRDefault="00EB7C9B" w:rsidP="000E12E0">
            <w:pPr>
              <w:rPr>
                <w:sz w:val="24"/>
                <w:szCs w:val="24"/>
              </w:rPr>
            </w:pPr>
          </w:p>
        </w:tc>
        <w:tc>
          <w:tcPr>
            <w:tcW w:w="1940" w:type="dxa"/>
            <w:vAlign w:val="bottom"/>
          </w:tcPr>
          <w:p w:rsidR="00EB7C9B" w:rsidRDefault="00EB7C9B" w:rsidP="000E12E0">
            <w:pPr>
              <w:ind w:left="100"/>
              <w:rPr>
                <w:sz w:val="20"/>
                <w:szCs w:val="20"/>
              </w:rPr>
            </w:pPr>
            <w:r>
              <w:rPr>
                <w:rFonts w:ascii="Verdana" w:eastAsia="Verdana" w:hAnsi="Verdana" w:cs="Verdana"/>
                <w:sz w:val="20"/>
                <w:szCs w:val="20"/>
              </w:rPr>
              <w:t>Speech Against</w:t>
            </w:r>
          </w:p>
        </w:tc>
        <w:tc>
          <w:tcPr>
            <w:tcW w:w="7120" w:type="dxa"/>
            <w:vAlign w:val="bottom"/>
          </w:tcPr>
          <w:p w:rsidR="00EB7C9B" w:rsidRDefault="00EB7C9B" w:rsidP="000E12E0">
            <w:pPr>
              <w:ind w:left="280"/>
              <w:rPr>
                <w:sz w:val="20"/>
                <w:szCs w:val="20"/>
              </w:rPr>
            </w:pPr>
            <w:r>
              <w:rPr>
                <w:rFonts w:ascii="Verdana" w:eastAsia="Verdana" w:hAnsi="Verdana" w:cs="Verdana"/>
                <w:sz w:val="20"/>
                <w:szCs w:val="20"/>
              </w:rPr>
              <w:t>Free</w:t>
            </w:r>
          </w:p>
        </w:tc>
      </w:tr>
      <w:tr w:rsidR="00EB7C9B" w:rsidTr="000E12E0">
        <w:trPr>
          <w:trHeight w:val="224"/>
        </w:trPr>
        <w:tc>
          <w:tcPr>
            <w:tcW w:w="20" w:type="dxa"/>
            <w:vAlign w:val="bottom"/>
          </w:tcPr>
          <w:p w:rsidR="00EB7C9B" w:rsidRDefault="00EB7C9B" w:rsidP="000E12E0">
            <w:pPr>
              <w:rPr>
                <w:sz w:val="19"/>
                <w:szCs w:val="19"/>
              </w:rPr>
            </w:pPr>
          </w:p>
        </w:tc>
        <w:tc>
          <w:tcPr>
            <w:tcW w:w="1940" w:type="dxa"/>
            <w:tcBorders>
              <w:bottom w:val="single" w:sz="8" w:space="0" w:color="4BACC6"/>
            </w:tcBorders>
            <w:vAlign w:val="bottom"/>
          </w:tcPr>
          <w:p w:rsidR="00EB7C9B" w:rsidRDefault="00EB7C9B" w:rsidP="000E12E0">
            <w:pPr>
              <w:rPr>
                <w:sz w:val="19"/>
                <w:szCs w:val="19"/>
              </w:rPr>
            </w:pPr>
          </w:p>
        </w:tc>
        <w:tc>
          <w:tcPr>
            <w:tcW w:w="7120" w:type="dxa"/>
            <w:tcBorders>
              <w:bottom w:val="single" w:sz="8" w:space="0" w:color="4BACC6"/>
            </w:tcBorders>
            <w:vAlign w:val="bottom"/>
          </w:tcPr>
          <w:p w:rsidR="00EB7C9B" w:rsidRDefault="00EB7C9B" w:rsidP="000E12E0">
            <w:pPr>
              <w:rPr>
                <w:sz w:val="19"/>
                <w:szCs w:val="19"/>
              </w:rPr>
            </w:pPr>
          </w:p>
        </w:tc>
      </w:tr>
      <w:tr w:rsidR="00EB7C9B" w:rsidTr="000E12E0">
        <w:trPr>
          <w:trHeight w:val="332"/>
        </w:trPr>
        <w:tc>
          <w:tcPr>
            <w:tcW w:w="20" w:type="dxa"/>
            <w:vAlign w:val="bottom"/>
          </w:tcPr>
          <w:p w:rsidR="00EB7C9B" w:rsidRDefault="00EB7C9B" w:rsidP="000E12E0">
            <w:pPr>
              <w:rPr>
                <w:sz w:val="24"/>
                <w:szCs w:val="24"/>
              </w:rPr>
            </w:pPr>
          </w:p>
        </w:tc>
        <w:tc>
          <w:tcPr>
            <w:tcW w:w="1940" w:type="dxa"/>
            <w:vAlign w:val="bottom"/>
          </w:tcPr>
          <w:p w:rsidR="00EB7C9B" w:rsidRDefault="00EB7C9B" w:rsidP="000E12E0">
            <w:pPr>
              <w:ind w:left="100"/>
              <w:rPr>
                <w:sz w:val="20"/>
                <w:szCs w:val="20"/>
              </w:rPr>
            </w:pPr>
            <w:r>
              <w:rPr>
                <w:rFonts w:ascii="Verdana" w:eastAsia="Verdana" w:hAnsi="Verdana" w:cs="Verdana"/>
                <w:sz w:val="20"/>
                <w:szCs w:val="20"/>
              </w:rPr>
              <w:t>Summation</w:t>
            </w:r>
          </w:p>
        </w:tc>
        <w:tc>
          <w:tcPr>
            <w:tcW w:w="7120" w:type="dxa"/>
            <w:vAlign w:val="bottom"/>
          </w:tcPr>
          <w:p w:rsidR="00EB7C9B" w:rsidRDefault="00EB7C9B" w:rsidP="000E12E0">
            <w:pPr>
              <w:ind w:left="280"/>
              <w:rPr>
                <w:sz w:val="20"/>
                <w:szCs w:val="20"/>
              </w:rPr>
            </w:pPr>
            <w:r>
              <w:rPr>
                <w:rFonts w:ascii="Verdana" w:eastAsia="Verdana" w:hAnsi="Verdana" w:cs="Verdana"/>
                <w:sz w:val="20"/>
                <w:szCs w:val="20"/>
              </w:rPr>
              <w:t>Proposer of last successful amendment</w:t>
            </w:r>
          </w:p>
        </w:tc>
      </w:tr>
      <w:tr w:rsidR="00EB7C9B" w:rsidTr="000E12E0">
        <w:trPr>
          <w:trHeight w:val="224"/>
        </w:trPr>
        <w:tc>
          <w:tcPr>
            <w:tcW w:w="20" w:type="dxa"/>
            <w:tcBorders>
              <w:bottom w:val="single" w:sz="8" w:space="0" w:color="4BACC6"/>
            </w:tcBorders>
            <w:vAlign w:val="bottom"/>
          </w:tcPr>
          <w:p w:rsidR="00EB7C9B" w:rsidRDefault="00EB7C9B" w:rsidP="000E12E0">
            <w:pPr>
              <w:rPr>
                <w:sz w:val="19"/>
                <w:szCs w:val="19"/>
              </w:rPr>
            </w:pPr>
          </w:p>
        </w:tc>
        <w:tc>
          <w:tcPr>
            <w:tcW w:w="1940" w:type="dxa"/>
            <w:tcBorders>
              <w:bottom w:val="single" w:sz="8" w:space="0" w:color="4BACC6"/>
            </w:tcBorders>
            <w:vAlign w:val="bottom"/>
          </w:tcPr>
          <w:p w:rsidR="00EB7C9B" w:rsidRDefault="00EB7C9B" w:rsidP="000E12E0">
            <w:pPr>
              <w:rPr>
                <w:sz w:val="19"/>
                <w:szCs w:val="19"/>
              </w:rPr>
            </w:pPr>
          </w:p>
        </w:tc>
        <w:tc>
          <w:tcPr>
            <w:tcW w:w="7120" w:type="dxa"/>
            <w:tcBorders>
              <w:bottom w:val="single" w:sz="8" w:space="0" w:color="4BACC6"/>
            </w:tcBorders>
            <w:vAlign w:val="bottom"/>
          </w:tcPr>
          <w:p w:rsidR="00EB7C9B" w:rsidRDefault="00EB7C9B" w:rsidP="000E12E0">
            <w:pPr>
              <w:rPr>
                <w:sz w:val="19"/>
                <w:szCs w:val="19"/>
              </w:rPr>
            </w:pPr>
          </w:p>
        </w:tc>
      </w:tr>
    </w:tbl>
    <w:p w:rsidR="00EB7C9B" w:rsidRDefault="00EB7C9B" w:rsidP="00EB7C9B">
      <w:pPr>
        <w:spacing w:line="364" w:lineRule="exact"/>
        <w:rPr>
          <w:sz w:val="20"/>
          <w:szCs w:val="20"/>
        </w:rPr>
      </w:pPr>
    </w:p>
    <w:p w:rsidR="00EB7C9B" w:rsidRDefault="00EB7C9B" w:rsidP="00EB7C9B">
      <w:pPr>
        <w:ind w:left="40"/>
        <w:rPr>
          <w:sz w:val="20"/>
          <w:szCs w:val="20"/>
        </w:rPr>
      </w:pPr>
      <w:r>
        <w:rPr>
          <w:rFonts w:ascii="Verdana" w:eastAsia="Verdana" w:hAnsi="Verdana" w:cs="Verdana"/>
          <w:b/>
          <w:bCs/>
          <w:color w:val="00AEC7"/>
          <w:sz w:val="20"/>
          <w:szCs w:val="20"/>
        </w:rPr>
        <w:t>Conference believes</w:t>
      </w:r>
    </w:p>
    <w:p w:rsidR="00EB7C9B" w:rsidRDefault="00EB7C9B" w:rsidP="00EB7C9B">
      <w:pPr>
        <w:spacing w:line="125" w:lineRule="exact"/>
        <w:rPr>
          <w:sz w:val="20"/>
          <w:szCs w:val="20"/>
        </w:rPr>
      </w:pPr>
    </w:p>
    <w:p w:rsidR="00EB7C9B" w:rsidRDefault="00EB7C9B" w:rsidP="00EB7C9B">
      <w:pPr>
        <w:numPr>
          <w:ilvl w:val="0"/>
          <w:numId w:val="1"/>
        </w:numPr>
        <w:tabs>
          <w:tab w:val="left" w:pos="400"/>
        </w:tabs>
        <w:spacing w:line="320" w:lineRule="auto"/>
        <w:ind w:left="400" w:right="540" w:hanging="360"/>
        <w:rPr>
          <w:rFonts w:ascii="Verdana" w:eastAsia="Verdana" w:hAnsi="Verdana" w:cs="Verdana"/>
          <w:sz w:val="20"/>
          <w:szCs w:val="20"/>
        </w:rPr>
      </w:pPr>
      <w:r>
        <w:rPr>
          <w:rFonts w:ascii="Verdana" w:eastAsia="Verdana" w:hAnsi="Verdana" w:cs="Verdana"/>
          <w:sz w:val="20"/>
          <w:szCs w:val="20"/>
        </w:rPr>
        <w:t>The National Union of Students has a No Platform policy which was introduced in 1974 and is voted on every year.</w:t>
      </w:r>
      <w:r>
        <w:rPr>
          <w:rFonts w:ascii="Verdana" w:eastAsia="Verdana" w:hAnsi="Verdana" w:cs="Verdana"/>
          <w:sz w:val="25"/>
          <w:szCs w:val="25"/>
          <w:vertAlign w:val="superscript"/>
        </w:rPr>
        <w:t>58</w:t>
      </w:r>
    </w:p>
    <w:p w:rsidR="00EB7C9B" w:rsidRDefault="00EB7C9B" w:rsidP="00EB7C9B">
      <w:pPr>
        <w:numPr>
          <w:ilvl w:val="0"/>
          <w:numId w:val="1"/>
        </w:numPr>
        <w:tabs>
          <w:tab w:val="left" w:pos="400"/>
        </w:tabs>
        <w:spacing w:line="345" w:lineRule="auto"/>
        <w:ind w:left="400" w:right="60" w:hanging="360"/>
        <w:rPr>
          <w:rFonts w:ascii="Verdana" w:eastAsia="Verdana" w:hAnsi="Verdana" w:cs="Verdana"/>
          <w:sz w:val="20"/>
          <w:szCs w:val="20"/>
        </w:rPr>
      </w:pPr>
      <w:r>
        <w:rPr>
          <w:rFonts w:ascii="Verdana" w:eastAsia="Verdana" w:hAnsi="Verdana" w:cs="Verdana"/>
          <w:sz w:val="20"/>
          <w:szCs w:val="20"/>
        </w:rPr>
        <w:t>As part of the Counter Terrorism and Security Act 2015, under the Prevent Duty, the government made it mandatory for all public bodies - including schools, colleges, and universities - to have due regard for the need to be drawn into terrorism. Under government guidance, education institutions are trained to monitor the behaviour of their members, encouraging staff to raise concern over their members lives inside or outside of the institution</w:t>
      </w:r>
      <w:r>
        <w:rPr>
          <w:rFonts w:ascii="Verdana" w:eastAsia="Verdana" w:hAnsi="Verdana" w:cs="Verdana"/>
          <w:sz w:val="25"/>
          <w:szCs w:val="25"/>
          <w:vertAlign w:val="superscript"/>
        </w:rPr>
        <w:t>59</w:t>
      </w:r>
    </w:p>
    <w:p w:rsidR="00EB7C9B" w:rsidRDefault="00EB7C9B" w:rsidP="00EB7C9B">
      <w:pPr>
        <w:spacing w:line="2" w:lineRule="exact"/>
        <w:rPr>
          <w:rFonts w:ascii="Verdana" w:eastAsia="Verdana" w:hAnsi="Verdana" w:cs="Verdana"/>
          <w:sz w:val="20"/>
          <w:szCs w:val="20"/>
        </w:rPr>
      </w:pPr>
    </w:p>
    <w:p w:rsidR="00EB7C9B" w:rsidRDefault="00EB7C9B" w:rsidP="00EB7C9B">
      <w:pPr>
        <w:numPr>
          <w:ilvl w:val="0"/>
          <w:numId w:val="1"/>
        </w:numPr>
        <w:tabs>
          <w:tab w:val="left" w:pos="400"/>
        </w:tabs>
        <w:spacing w:line="320" w:lineRule="auto"/>
        <w:ind w:left="400" w:right="420" w:hanging="360"/>
        <w:rPr>
          <w:rFonts w:ascii="Verdana" w:eastAsia="Verdana" w:hAnsi="Verdana" w:cs="Verdana"/>
          <w:sz w:val="20"/>
          <w:szCs w:val="20"/>
        </w:rPr>
      </w:pPr>
      <w:r>
        <w:rPr>
          <w:rFonts w:ascii="Verdana" w:eastAsia="Verdana" w:hAnsi="Verdana" w:cs="Verdana"/>
          <w:sz w:val="20"/>
          <w:szCs w:val="20"/>
        </w:rPr>
        <w:t>On October 19</w:t>
      </w:r>
      <w:r>
        <w:rPr>
          <w:rFonts w:ascii="Verdana" w:eastAsia="Verdana" w:hAnsi="Verdana" w:cs="Verdana"/>
          <w:sz w:val="25"/>
          <w:szCs w:val="25"/>
          <w:vertAlign w:val="superscript"/>
        </w:rPr>
        <w:t>th</w:t>
      </w:r>
      <w:r>
        <w:rPr>
          <w:rFonts w:ascii="Verdana" w:eastAsia="Verdana" w:hAnsi="Verdana" w:cs="Verdana"/>
          <w:sz w:val="20"/>
          <w:szCs w:val="20"/>
        </w:rPr>
        <w:t xml:space="preserve"> 2017, Jo Johnson called on the Office for Students (</w:t>
      </w:r>
      <w:proofErr w:type="spellStart"/>
      <w:r>
        <w:rPr>
          <w:rFonts w:ascii="Verdana" w:eastAsia="Verdana" w:hAnsi="Verdana" w:cs="Verdana"/>
          <w:sz w:val="20"/>
          <w:szCs w:val="20"/>
        </w:rPr>
        <w:t>OfS</w:t>
      </w:r>
      <w:proofErr w:type="spellEnd"/>
      <w:r>
        <w:rPr>
          <w:rFonts w:ascii="Verdana" w:eastAsia="Verdana" w:hAnsi="Verdana" w:cs="Verdana"/>
          <w:sz w:val="20"/>
          <w:szCs w:val="20"/>
        </w:rPr>
        <w:t>) to champion free speech in universities, with the aim of ensuring that “students are exposed to a wide range of issues and ideas in a safe environment without fear of censorship”.</w:t>
      </w:r>
      <w:r>
        <w:rPr>
          <w:rFonts w:ascii="Verdana" w:eastAsia="Verdana" w:hAnsi="Verdana" w:cs="Verdana"/>
          <w:sz w:val="25"/>
          <w:szCs w:val="25"/>
          <w:vertAlign w:val="superscript"/>
        </w:rPr>
        <w:t>60</w:t>
      </w:r>
    </w:p>
    <w:p w:rsidR="00EB7C9B" w:rsidRDefault="00EB7C9B" w:rsidP="00EB7C9B">
      <w:pPr>
        <w:spacing w:line="1" w:lineRule="exact"/>
        <w:rPr>
          <w:rFonts w:ascii="Verdana" w:eastAsia="Verdana" w:hAnsi="Verdana" w:cs="Verdana"/>
          <w:sz w:val="20"/>
          <w:szCs w:val="20"/>
        </w:rPr>
      </w:pPr>
    </w:p>
    <w:p w:rsidR="00EB7C9B" w:rsidRDefault="00EB7C9B" w:rsidP="00EB7C9B">
      <w:pPr>
        <w:numPr>
          <w:ilvl w:val="0"/>
          <w:numId w:val="1"/>
        </w:numPr>
        <w:tabs>
          <w:tab w:val="left" w:pos="400"/>
        </w:tabs>
        <w:spacing w:line="358" w:lineRule="auto"/>
        <w:ind w:left="400" w:right="120" w:hanging="360"/>
        <w:rPr>
          <w:rFonts w:ascii="Verdana" w:eastAsia="Verdana" w:hAnsi="Verdana" w:cs="Verdana"/>
          <w:sz w:val="20"/>
          <w:szCs w:val="20"/>
        </w:rPr>
      </w:pPr>
      <w:r>
        <w:rPr>
          <w:rFonts w:ascii="Verdana" w:eastAsia="Verdana" w:hAnsi="Verdana" w:cs="Verdana"/>
          <w:sz w:val="20"/>
          <w:szCs w:val="20"/>
        </w:rPr>
        <w:t>Following this, Jo Johnson announced that the Office for Students would take a more aggressive role in securing freedom of speech in universities, including fining institutions for failing to uphold it.</w:t>
      </w:r>
    </w:p>
    <w:p w:rsidR="00EB7C9B" w:rsidRDefault="00EB7C9B" w:rsidP="00EB7C9B">
      <w:pPr>
        <w:spacing w:line="6" w:lineRule="exact"/>
        <w:rPr>
          <w:rFonts w:ascii="Verdana" w:eastAsia="Verdana" w:hAnsi="Verdana" w:cs="Verdana"/>
          <w:sz w:val="20"/>
          <w:szCs w:val="20"/>
        </w:rPr>
      </w:pPr>
    </w:p>
    <w:p w:rsidR="00EB7C9B" w:rsidRDefault="00EB7C9B" w:rsidP="00EB7C9B">
      <w:pPr>
        <w:numPr>
          <w:ilvl w:val="0"/>
          <w:numId w:val="1"/>
        </w:numPr>
        <w:tabs>
          <w:tab w:val="left" w:pos="400"/>
        </w:tabs>
        <w:spacing w:line="357" w:lineRule="auto"/>
        <w:ind w:left="400" w:right="20" w:hanging="360"/>
        <w:rPr>
          <w:rFonts w:ascii="Verdana" w:eastAsia="Verdana" w:hAnsi="Verdana" w:cs="Verdana"/>
          <w:sz w:val="20"/>
          <w:szCs w:val="20"/>
        </w:rPr>
      </w:pPr>
      <w:r>
        <w:rPr>
          <w:rFonts w:ascii="Verdana" w:eastAsia="Verdana" w:hAnsi="Verdana" w:cs="Verdana"/>
          <w:sz w:val="20"/>
          <w:szCs w:val="20"/>
        </w:rPr>
        <w:t>An outrage about ‘Free Speech’ in universities has been manufactured in recent years by the government and press.</w:t>
      </w:r>
    </w:p>
    <w:p w:rsidR="00EB7C9B" w:rsidRDefault="00EB7C9B" w:rsidP="00EB7C9B">
      <w:pPr>
        <w:spacing w:line="6" w:lineRule="exact"/>
        <w:rPr>
          <w:rFonts w:ascii="Verdana" w:eastAsia="Verdana" w:hAnsi="Verdana" w:cs="Verdana"/>
          <w:sz w:val="20"/>
          <w:szCs w:val="20"/>
        </w:rPr>
      </w:pPr>
    </w:p>
    <w:p w:rsidR="00EB7C9B" w:rsidRDefault="00EB7C9B" w:rsidP="00EB7C9B">
      <w:pPr>
        <w:numPr>
          <w:ilvl w:val="0"/>
          <w:numId w:val="1"/>
        </w:numPr>
        <w:tabs>
          <w:tab w:val="left" w:pos="400"/>
        </w:tabs>
        <w:spacing w:line="358" w:lineRule="auto"/>
        <w:ind w:left="400" w:right="160" w:hanging="360"/>
        <w:rPr>
          <w:rFonts w:ascii="Verdana" w:eastAsia="Verdana" w:hAnsi="Verdana" w:cs="Verdana"/>
          <w:sz w:val="20"/>
          <w:szCs w:val="20"/>
        </w:rPr>
      </w:pPr>
      <w:r>
        <w:rPr>
          <w:rFonts w:ascii="Verdana" w:eastAsia="Verdana" w:hAnsi="Verdana" w:cs="Verdana"/>
          <w:sz w:val="20"/>
          <w:szCs w:val="20"/>
        </w:rPr>
        <w:t>This often relies on crude, false conflations between diverse direct-action tactics and campaigns with ‘No Platforming’ or ‘Safe Spaces’, accusing student campaigning as the greatest threat to free speech in universities.</w:t>
      </w:r>
    </w:p>
    <w:p w:rsidR="00EB7C9B" w:rsidRDefault="00EB7C9B" w:rsidP="00EB7C9B">
      <w:pPr>
        <w:spacing w:line="4" w:lineRule="exact"/>
        <w:rPr>
          <w:rFonts w:ascii="Verdana" w:eastAsia="Verdana" w:hAnsi="Verdana" w:cs="Verdana"/>
          <w:sz w:val="20"/>
          <w:szCs w:val="20"/>
        </w:rPr>
      </w:pPr>
    </w:p>
    <w:p w:rsidR="00EB7C9B" w:rsidRDefault="00EB7C9B" w:rsidP="00EB7C9B">
      <w:pPr>
        <w:numPr>
          <w:ilvl w:val="0"/>
          <w:numId w:val="1"/>
        </w:numPr>
        <w:tabs>
          <w:tab w:val="left" w:pos="400"/>
        </w:tabs>
        <w:spacing w:line="357" w:lineRule="auto"/>
        <w:ind w:left="400" w:right="480" w:hanging="360"/>
        <w:rPr>
          <w:rFonts w:ascii="Verdana" w:eastAsia="Verdana" w:hAnsi="Verdana" w:cs="Verdana"/>
          <w:sz w:val="20"/>
          <w:szCs w:val="20"/>
        </w:rPr>
      </w:pPr>
      <w:r>
        <w:rPr>
          <w:rFonts w:ascii="Verdana" w:eastAsia="Verdana" w:hAnsi="Verdana" w:cs="Verdana"/>
          <w:sz w:val="20"/>
          <w:szCs w:val="20"/>
        </w:rPr>
        <w:t>It is unclear exactly what this new ‘duty’ would add in practice, but in context it’s likely that student direct action will be targeted.</w:t>
      </w:r>
    </w:p>
    <w:p w:rsidR="00EB7C9B" w:rsidRDefault="00EB7C9B" w:rsidP="00EB7C9B">
      <w:pPr>
        <w:spacing w:line="20" w:lineRule="exact"/>
        <w:rPr>
          <w:sz w:val="20"/>
          <w:szCs w:val="20"/>
        </w:rPr>
      </w:pPr>
      <w:r>
        <w:rPr>
          <w:noProof/>
          <w:sz w:val="20"/>
          <w:szCs w:val="20"/>
        </w:rPr>
        <mc:AlternateContent>
          <mc:Choice Requires="wps">
            <w:drawing>
              <wp:anchor distT="0" distB="0" distL="114300" distR="114300" simplePos="0" relativeHeight="251659264" behindDoc="1" locked="0" layoutInCell="0" allowOverlap="1" wp14:anchorId="24DD90C8" wp14:editId="6308008D">
                <wp:simplePos x="0" y="0"/>
                <wp:positionH relativeFrom="column">
                  <wp:posOffset>25400</wp:posOffset>
                </wp:positionH>
                <wp:positionV relativeFrom="paragraph">
                  <wp:posOffset>445770</wp:posOffset>
                </wp:positionV>
                <wp:extent cx="1828800"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222E4ABC" id="Shape 2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2pt,35.1pt" to="146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" o:allowincell="f" filled="t" strokeweight=".6pt">
                <v:stroke joinstyle="miter"/>
                <o:lock v:ext="edit" shapetype="f"/>
              </v:line>
            </w:pict>
          </mc:Fallback>
        </mc:AlternateContent>
      </w:r>
    </w:p>
    <w:p w:rsidR="00EB7C9B" w:rsidRDefault="00EB7C9B" w:rsidP="00EB7C9B">
      <w:pPr>
        <w:spacing w:line="200" w:lineRule="exact"/>
        <w:rPr>
          <w:sz w:val="20"/>
          <w:szCs w:val="20"/>
        </w:rPr>
      </w:pPr>
    </w:p>
    <w:p w:rsidR="00EB7C9B" w:rsidRDefault="00EB7C9B" w:rsidP="00EB7C9B">
      <w:pPr>
        <w:spacing w:line="200" w:lineRule="exact"/>
        <w:rPr>
          <w:sz w:val="20"/>
          <w:szCs w:val="20"/>
        </w:rPr>
      </w:pPr>
    </w:p>
    <w:p w:rsidR="00EB7C9B" w:rsidRDefault="00EB7C9B" w:rsidP="00EB7C9B">
      <w:pPr>
        <w:spacing w:line="341" w:lineRule="exact"/>
        <w:rPr>
          <w:sz w:val="20"/>
          <w:szCs w:val="20"/>
        </w:rPr>
      </w:pPr>
    </w:p>
    <w:p w:rsidR="00EB7C9B" w:rsidRDefault="00EB7C9B" w:rsidP="00EB7C9B">
      <w:pPr>
        <w:numPr>
          <w:ilvl w:val="0"/>
          <w:numId w:val="2"/>
        </w:numPr>
        <w:tabs>
          <w:tab w:val="left" w:pos="180"/>
        </w:tabs>
        <w:ind w:left="180" w:hanging="140"/>
        <w:rPr>
          <w:rFonts w:ascii="Verdana" w:eastAsia="Verdana" w:hAnsi="Verdana" w:cs="Verdana"/>
          <w:color w:val="00AEC7"/>
          <w:sz w:val="12"/>
          <w:szCs w:val="12"/>
          <w:u w:val="single"/>
        </w:rPr>
      </w:pPr>
      <w:hyperlink r:id="rId5">
        <w:r>
          <w:rPr>
            <w:rFonts w:ascii="Verdana" w:eastAsia="Verdana" w:hAnsi="Verdana" w:cs="Verdana"/>
            <w:color w:val="00AEC7"/>
            <w:sz w:val="12"/>
            <w:szCs w:val="12"/>
            <w:u w:val="single"/>
          </w:rPr>
          <w:t>https://nusdigital.s3-eu-west-</w:t>
        </w:r>
      </w:hyperlink>
    </w:p>
    <w:p w:rsidR="00EB7C9B" w:rsidRDefault="00EB7C9B" w:rsidP="00EB7C9B">
      <w:pPr>
        <w:spacing w:line="2" w:lineRule="exact"/>
        <w:rPr>
          <w:sz w:val="20"/>
          <w:szCs w:val="20"/>
        </w:rPr>
      </w:pPr>
    </w:p>
    <w:p w:rsidR="00EB7C9B" w:rsidRDefault="00EB7C9B" w:rsidP="00EB7C9B">
      <w:pPr>
        <w:spacing w:line="260" w:lineRule="auto"/>
        <w:ind w:left="40" w:right="120"/>
        <w:rPr>
          <w:rFonts w:ascii="Verdana" w:eastAsia="Verdana" w:hAnsi="Verdana" w:cs="Verdana"/>
          <w:color w:val="00AEC7"/>
          <w:sz w:val="11"/>
          <w:szCs w:val="11"/>
          <w:u w:val="single"/>
        </w:rPr>
      </w:pPr>
      <w:hyperlink r:id="rId6">
        <w:proofErr w:type="gramStart"/>
        <w:r>
          <w:rPr>
            <w:rFonts w:ascii="Verdana" w:eastAsia="Verdana" w:hAnsi="Verdana" w:cs="Verdana"/>
            <w:color w:val="00AEC7"/>
            <w:sz w:val="11"/>
            <w:szCs w:val="11"/>
            <w:u w:val="single"/>
          </w:rPr>
          <w:t>1.amazonaws.com</w:t>
        </w:r>
        <w:proofErr w:type="gramEnd"/>
        <w:r>
          <w:rPr>
            <w:rFonts w:ascii="Verdana" w:eastAsia="Verdana" w:hAnsi="Verdana" w:cs="Verdana"/>
            <w:color w:val="00AEC7"/>
            <w:sz w:val="11"/>
            <w:szCs w:val="11"/>
            <w:u w:val="single"/>
          </w:rPr>
          <w:t>/document/documents/31475/NUS_No_Platform_Policy_information_.pdf?AWSAccessKeyId=AKIAJKEA56ZWKFU6MHNQ&amp;Expires</w:t>
        </w:r>
      </w:hyperlink>
      <w:r>
        <w:rPr>
          <w:rFonts w:ascii="Verdana" w:eastAsia="Verdana" w:hAnsi="Verdana" w:cs="Verdana"/>
          <w:color w:val="00AEC7"/>
          <w:sz w:val="11"/>
          <w:szCs w:val="11"/>
          <w:u w:val="single"/>
        </w:rPr>
        <w:t xml:space="preserve"> </w:t>
      </w:r>
      <w:hyperlink r:id="rId7">
        <w:r>
          <w:rPr>
            <w:rFonts w:ascii="Verdana" w:eastAsia="Verdana" w:hAnsi="Verdana" w:cs="Verdana"/>
            <w:color w:val="00AEC7"/>
            <w:sz w:val="11"/>
            <w:szCs w:val="11"/>
            <w:u w:val="single"/>
          </w:rPr>
          <w:t>=1517780809&amp;Signature=wiJ7rSvYlB6MKadAI8OEGiEtoiI%3D</w:t>
        </w:r>
      </w:hyperlink>
    </w:p>
    <w:p w:rsidR="00EB7C9B" w:rsidRDefault="00EB7C9B" w:rsidP="00EB7C9B">
      <w:pPr>
        <w:numPr>
          <w:ilvl w:val="0"/>
          <w:numId w:val="3"/>
        </w:numPr>
        <w:tabs>
          <w:tab w:val="left" w:pos="180"/>
        </w:tabs>
        <w:spacing w:line="191" w:lineRule="auto"/>
        <w:ind w:left="180" w:hanging="140"/>
        <w:rPr>
          <w:rFonts w:ascii="Verdana" w:eastAsia="Verdana" w:hAnsi="Verdana" w:cs="Verdana"/>
          <w:color w:val="00AEC7"/>
          <w:sz w:val="11"/>
          <w:szCs w:val="11"/>
          <w:u w:val="single"/>
        </w:rPr>
      </w:pPr>
      <w:hyperlink r:id="rId8">
        <w:r>
          <w:rPr>
            <w:rFonts w:ascii="Verdana" w:eastAsia="Verdana" w:hAnsi="Verdana" w:cs="Verdana"/>
            <w:color w:val="00AEC7"/>
            <w:sz w:val="11"/>
            <w:szCs w:val="11"/>
            <w:u w:val="single"/>
          </w:rPr>
          <w:t>https://www.gov.uk/government/publications/prevent-duty-guidance</w:t>
        </w:r>
      </w:hyperlink>
    </w:p>
    <w:p w:rsidR="00EB7C9B" w:rsidRDefault="00EB7C9B" w:rsidP="00EB7C9B">
      <w:pPr>
        <w:spacing w:line="2" w:lineRule="exact"/>
        <w:rPr>
          <w:rFonts w:ascii="Verdana" w:eastAsia="Verdana" w:hAnsi="Verdana" w:cs="Verdana"/>
          <w:color w:val="00AEC7"/>
          <w:sz w:val="11"/>
          <w:szCs w:val="11"/>
          <w:u w:val="single"/>
        </w:rPr>
      </w:pPr>
    </w:p>
    <w:p w:rsidR="00EB7C9B" w:rsidRDefault="00EB7C9B" w:rsidP="00EB7C9B">
      <w:pPr>
        <w:numPr>
          <w:ilvl w:val="0"/>
          <w:numId w:val="3"/>
        </w:numPr>
        <w:tabs>
          <w:tab w:val="left" w:pos="180"/>
        </w:tabs>
        <w:spacing w:line="190" w:lineRule="auto"/>
        <w:ind w:left="180" w:hanging="140"/>
        <w:rPr>
          <w:rFonts w:ascii="Verdana" w:eastAsia="Verdana" w:hAnsi="Verdana" w:cs="Verdana"/>
          <w:color w:val="00AEC7"/>
          <w:sz w:val="11"/>
          <w:szCs w:val="11"/>
          <w:u w:val="single"/>
        </w:rPr>
      </w:pPr>
      <w:hyperlink r:id="rId9">
        <w:r>
          <w:rPr>
            <w:rFonts w:ascii="Verdana" w:eastAsia="Verdana" w:hAnsi="Verdana" w:cs="Verdana"/>
            <w:color w:val="00AEC7"/>
            <w:sz w:val="11"/>
            <w:szCs w:val="11"/>
            <w:u w:val="single"/>
          </w:rPr>
          <w:t>https://www.gov.uk/government/speeches/free-speech-in-the-liberal-university</w:t>
        </w:r>
      </w:hyperlink>
    </w:p>
    <w:p w:rsidR="00EB7C9B" w:rsidRDefault="00EB7C9B" w:rsidP="00EB7C9B">
      <w:pPr>
        <w:spacing w:line="228" w:lineRule="exact"/>
        <w:rPr>
          <w:rFonts w:ascii="Verdana" w:eastAsia="Verdana" w:hAnsi="Verdana" w:cs="Verdana"/>
          <w:color w:val="00AEC7"/>
          <w:sz w:val="15"/>
          <w:szCs w:val="15"/>
          <w:vertAlign w:val="superscript"/>
        </w:rPr>
      </w:pPr>
    </w:p>
    <w:p w:rsidR="00EB7C9B" w:rsidRDefault="00EB7C9B" w:rsidP="00EB7C9B">
      <w:pPr>
        <w:ind w:right="20"/>
        <w:jc w:val="right"/>
        <w:rPr>
          <w:sz w:val="20"/>
          <w:szCs w:val="20"/>
        </w:rPr>
      </w:pPr>
      <w:r>
        <w:rPr>
          <w:rFonts w:ascii="Verdana" w:eastAsia="Verdana" w:hAnsi="Verdana" w:cs="Verdana"/>
          <w:b/>
          <w:bCs/>
          <w:color w:val="00AEC7"/>
          <w:sz w:val="18"/>
          <w:szCs w:val="18"/>
        </w:rPr>
        <w:t>68</w:t>
      </w:r>
    </w:p>
    <w:p w:rsidR="00EB7C9B" w:rsidRDefault="00EB7C9B" w:rsidP="00EB7C9B">
      <w:pPr>
        <w:sectPr w:rsidR="00EB7C9B">
          <w:pgSz w:w="11900" w:h="16838"/>
          <w:pgMar w:top="1440" w:right="1426" w:bottom="427" w:left="1400" w:header="0" w:footer="0" w:gutter="0"/>
          <w:cols w:space="720" w:equalWidth="0">
            <w:col w:w="9080"/>
          </w:cols>
        </w:sectPr>
      </w:pPr>
    </w:p>
    <w:p w:rsidR="00EB7C9B" w:rsidRDefault="00EB7C9B" w:rsidP="00EB7C9B">
      <w:pPr>
        <w:spacing w:line="1" w:lineRule="exact"/>
        <w:rPr>
          <w:sz w:val="20"/>
          <w:szCs w:val="20"/>
        </w:rPr>
      </w:pPr>
      <w:bookmarkStart w:id="0" w:name="page70"/>
      <w:bookmarkEnd w:id="0"/>
    </w:p>
    <w:p w:rsidR="00EB7C9B" w:rsidRDefault="00EB7C9B" w:rsidP="00EB7C9B">
      <w:pPr>
        <w:numPr>
          <w:ilvl w:val="0"/>
          <w:numId w:val="4"/>
        </w:numPr>
        <w:tabs>
          <w:tab w:val="left" w:pos="360"/>
        </w:tabs>
        <w:spacing w:line="357" w:lineRule="auto"/>
        <w:ind w:left="360" w:right="106" w:hanging="360"/>
        <w:rPr>
          <w:rFonts w:ascii="Verdana" w:eastAsia="Verdana" w:hAnsi="Verdana" w:cs="Verdana"/>
          <w:sz w:val="20"/>
          <w:szCs w:val="20"/>
        </w:rPr>
      </w:pPr>
      <w:r>
        <w:rPr>
          <w:rFonts w:ascii="Verdana" w:eastAsia="Verdana" w:hAnsi="Verdana" w:cs="Verdana"/>
          <w:sz w:val="20"/>
          <w:szCs w:val="20"/>
        </w:rPr>
        <w:t xml:space="preserve">Alongside this, the </w:t>
      </w:r>
      <w:proofErr w:type="spellStart"/>
      <w:r>
        <w:rPr>
          <w:rFonts w:ascii="Verdana" w:eastAsia="Verdana" w:hAnsi="Verdana" w:cs="Verdana"/>
          <w:sz w:val="20"/>
          <w:szCs w:val="20"/>
        </w:rPr>
        <w:t>OfS</w:t>
      </w:r>
      <w:proofErr w:type="spellEnd"/>
      <w:r>
        <w:rPr>
          <w:rFonts w:ascii="Verdana" w:eastAsia="Verdana" w:hAnsi="Verdana" w:cs="Verdana"/>
          <w:sz w:val="20"/>
          <w:szCs w:val="20"/>
        </w:rPr>
        <w:t xml:space="preserve"> will be enforcing the Prevent duty, to ensure that universities comply with the racist and repressive PREVENT agenda.</w:t>
      </w:r>
    </w:p>
    <w:p w:rsidR="00EB7C9B" w:rsidRDefault="00EB7C9B" w:rsidP="00EB7C9B">
      <w:pPr>
        <w:spacing w:line="369" w:lineRule="exact"/>
        <w:rPr>
          <w:sz w:val="20"/>
          <w:szCs w:val="20"/>
        </w:rPr>
      </w:pPr>
    </w:p>
    <w:p w:rsidR="00EB7C9B" w:rsidRDefault="00EB7C9B" w:rsidP="00EB7C9B">
      <w:pPr>
        <w:rPr>
          <w:sz w:val="20"/>
          <w:szCs w:val="20"/>
        </w:rPr>
      </w:pPr>
      <w:r>
        <w:rPr>
          <w:rFonts w:ascii="Verdana" w:eastAsia="Verdana" w:hAnsi="Verdana" w:cs="Verdana"/>
          <w:b/>
          <w:bCs/>
          <w:color w:val="00AEC7"/>
          <w:sz w:val="20"/>
          <w:szCs w:val="20"/>
        </w:rPr>
        <w:t>Conference further believes</w:t>
      </w:r>
    </w:p>
    <w:p w:rsidR="00EB7C9B" w:rsidRDefault="00EB7C9B" w:rsidP="00EB7C9B">
      <w:pPr>
        <w:spacing w:line="125" w:lineRule="exact"/>
        <w:rPr>
          <w:sz w:val="20"/>
          <w:szCs w:val="20"/>
        </w:rPr>
      </w:pPr>
    </w:p>
    <w:p w:rsidR="00EB7C9B" w:rsidRDefault="00EB7C9B" w:rsidP="00EB7C9B">
      <w:pPr>
        <w:numPr>
          <w:ilvl w:val="0"/>
          <w:numId w:val="5"/>
        </w:numPr>
        <w:tabs>
          <w:tab w:val="left" w:pos="360"/>
        </w:tabs>
        <w:spacing w:line="358" w:lineRule="auto"/>
        <w:ind w:left="360" w:right="526" w:hanging="360"/>
        <w:rPr>
          <w:rFonts w:ascii="Verdana" w:eastAsia="Verdana" w:hAnsi="Verdana" w:cs="Verdana"/>
          <w:sz w:val="20"/>
          <w:szCs w:val="20"/>
        </w:rPr>
      </w:pPr>
      <w:r>
        <w:rPr>
          <w:rFonts w:ascii="Verdana" w:eastAsia="Verdana" w:hAnsi="Verdana" w:cs="Verdana"/>
          <w:sz w:val="20"/>
          <w:szCs w:val="20"/>
        </w:rPr>
        <w:t xml:space="preserve">The </w:t>
      </w:r>
      <w:proofErr w:type="spellStart"/>
      <w:r>
        <w:rPr>
          <w:rFonts w:ascii="Verdana" w:eastAsia="Verdana" w:hAnsi="Verdana" w:cs="Verdana"/>
          <w:sz w:val="20"/>
          <w:szCs w:val="20"/>
        </w:rPr>
        <w:t>OfS’s</w:t>
      </w:r>
      <w:proofErr w:type="spellEnd"/>
      <w:r>
        <w:rPr>
          <w:rFonts w:ascii="Verdana" w:eastAsia="Verdana" w:hAnsi="Verdana" w:cs="Verdana"/>
          <w:sz w:val="20"/>
          <w:szCs w:val="20"/>
        </w:rPr>
        <w:t xml:space="preserve"> inclusion on ‘freedom of speech’ is geared towards inhibiting Students’ Unions to create ‘no platform’ policies; this clashes with NUS’s policy on no platforming, and the safety of our liberation group students. It is well within our democratic rights to no platform those who incite hate speech.</w:t>
      </w:r>
    </w:p>
    <w:p w:rsidR="00EB7C9B" w:rsidRDefault="00EB7C9B" w:rsidP="00EB7C9B">
      <w:pPr>
        <w:spacing w:line="6" w:lineRule="exact"/>
        <w:rPr>
          <w:rFonts w:ascii="Verdana" w:eastAsia="Verdana" w:hAnsi="Verdana" w:cs="Verdana"/>
          <w:sz w:val="20"/>
          <w:szCs w:val="20"/>
        </w:rPr>
      </w:pPr>
    </w:p>
    <w:p w:rsidR="00EB7C9B" w:rsidRDefault="00EB7C9B" w:rsidP="00EB7C9B">
      <w:pPr>
        <w:numPr>
          <w:ilvl w:val="0"/>
          <w:numId w:val="5"/>
        </w:numPr>
        <w:tabs>
          <w:tab w:val="left" w:pos="360"/>
        </w:tabs>
        <w:spacing w:line="343" w:lineRule="auto"/>
        <w:ind w:left="360" w:right="226" w:hanging="360"/>
        <w:rPr>
          <w:rFonts w:ascii="Verdana" w:eastAsia="Verdana" w:hAnsi="Verdana" w:cs="Verdana"/>
          <w:sz w:val="20"/>
          <w:szCs w:val="20"/>
        </w:rPr>
      </w:pPr>
      <w:r>
        <w:rPr>
          <w:rFonts w:ascii="Verdana" w:eastAsia="Verdana" w:hAnsi="Verdana" w:cs="Verdana"/>
          <w:sz w:val="20"/>
          <w:szCs w:val="20"/>
        </w:rPr>
        <w:t xml:space="preserve">The </w:t>
      </w:r>
      <w:proofErr w:type="spellStart"/>
      <w:r>
        <w:rPr>
          <w:rFonts w:ascii="Verdana" w:eastAsia="Verdana" w:hAnsi="Verdana" w:cs="Verdana"/>
          <w:sz w:val="20"/>
          <w:szCs w:val="20"/>
        </w:rPr>
        <w:t>OfS’s</w:t>
      </w:r>
      <w:proofErr w:type="spellEnd"/>
      <w:r>
        <w:rPr>
          <w:rFonts w:ascii="Verdana" w:eastAsia="Verdana" w:hAnsi="Verdana" w:cs="Verdana"/>
          <w:sz w:val="20"/>
          <w:szCs w:val="20"/>
        </w:rPr>
        <w:t xml:space="preserve"> stance on ‘freedom of speech’ is flawed and inconsistent with the Prevent strategy: they cannot both champion freedom of speech, and yet persist with the Prevent Duty, which creates a chilling effect on campuses, in which a number of students feel targeted and unable to speak freely and engage in democratic and normal debate, without being reported to Prevent authorities.</w:t>
      </w:r>
      <w:r>
        <w:rPr>
          <w:rFonts w:ascii="Verdana" w:eastAsia="Verdana" w:hAnsi="Verdana" w:cs="Verdana"/>
          <w:sz w:val="25"/>
          <w:szCs w:val="25"/>
          <w:vertAlign w:val="superscript"/>
        </w:rPr>
        <w:t>61</w:t>
      </w:r>
    </w:p>
    <w:p w:rsidR="00EB7C9B" w:rsidRDefault="00EB7C9B" w:rsidP="00EB7C9B">
      <w:pPr>
        <w:numPr>
          <w:ilvl w:val="0"/>
          <w:numId w:val="5"/>
        </w:numPr>
        <w:tabs>
          <w:tab w:val="left" w:pos="360"/>
        </w:tabs>
        <w:spacing w:line="358" w:lineRule="auto"/>
        <w:ind w:left="360" w:right="386" w:hanging="360"/>
        <w:rPr>
          <w:rFonts w:ascii="Verdana" w:eastAsia="Verdana" w:hAnsi="Verdana" w:cs="Verdana"/>
          <w:sz w:val="20"/>
          <w:szCs w:val="20"/>
        </w:rPr>
      </w:pPr>
      <w:r>
        <w:rPr>
          <w:rFonts w:ascii="Verdana" w:eastAsia="Verdana" w:hAnsi="Verdana" w:cs="Verdana"/>
          <w:sz w:val="20"/>
          <w:szCs w:val="20"/>
        </w:rPr>
        <w:t>It is unethical to monitor the activity of students - by monitoring prayer rooms, or emails, or by censuring normal student events. This leads to the censuring of students’ rights to freedom of expression.</w:t>
      </w:r>
    </w:p>
    <w:p w:rsidR="00EB7C9B" w:rsidRDefault="00EB7C9B" w:rsidP="00EB7C9B">
      <w:pPr>
        <w:spacing w:line="6" w:lineRule="exact"/>
        <w:rPr>
          <w:rFonts w:ascii="Verdana" w:eastAsia="Verdana" w:hAnsi="Verdana" w:cs="Verdana"/>
          <w:sz w:val="20"/>
          <w:szCs w:val="20"/>
        </w:rPr>
      </w:pPr>
    </w:p>
    <w:p w:rsidR="00EB7C9B" w:rsidRDefault="00EB7C9B" w:rsidP="00EB7C9B">
      <w:pPr>
        <w:numPr>
          <w:ilvl w:val="0"/>
          <w:numId w:val="5"/>
        </w:numPr>
        <w:tabs>
          <w:tab w:val="left" w:pos="360"/>
        </w:tabs>
        <w:spacing w:line="357" w:lineRule="auto"/>
        <w:ind w:left="360" w:right="246" w:hanging="360"/>
        <w:rPr>
          <w:rFonts w:ascii="Verdana" w:eastAsia="Verdana" w:hAnsi="Verdana" w:cs="Verdana"/>
          <w:sz w:val="20"/>
          <w:szCs w:val="20"/>
        </w:rPr>
      </w:pPr>
      <w:r>
        <w:rPr>
          <w:rFonts w:ascii="Verdana" w:eastAsia="Verdana" w:hAnsi="Verdana" w:cs="Verdana"/>
          <w:sz w:val="20"/>
          <w:szCs w:val="20"/>
        </w:rPr>
        <w:t xml:space="preserve">The </w:t>
      </w:r>
      <w:proofErr w:type="spellStart"/>
      <w:r>
        <w:rPr>
          <w:rFonts w:ascii="Verdana" w:eastAsia="Verdana" w:hAnsi="Verdana" w:cs="Verdana"/>
          <w:sz w:val="20"/>
          <w:szCs w:val="20"/>
        </w:rPr>
        <w:t>OfS’s</w:t>
      </w:r>
      <w:proofErr w:type="spellEnd"/>
      <w:r>
        <w:rPr>
          <w:rFonts w:ascii="Verdana" w:eastAsia="Verdana" w:hAnsi="Verdana" w:cs="Verdana"/>
          <w:sz w:val="20"/>
          <w:szCs w:val="20"/>
        </w:rPr>
        <w:t xml:space="preserve"> stance on ‘freedom of speech’ is flawed and inconsistent with the Prevent strategy.</w:t>
      </w:r>
    </w:p>
    <w:p w:rsidR="00EB7C9B" w:rsidRDefault="00EB7C9B" w:rsidP="00EB7C9B">
      <w:pPr>
        <w:spacing w:line="4" w:lineRule="exact"/>
        <w:rPr>
          <w:rFonts w:ascii="Verdana" w:eastAsia="Verdana" w:hAnsi="Verdana" w:cs="Verdana"/>
          <w:sz w:val="20"/>
          <w:szCs w:val="20"/>
        </w:rPr>
      </w:pPr>
    </w:p>
    <w:p w:rsidR="00EB7C9B" w:rsidRDefault="00EB7C9B" w:rsidP="00EB7C9B">
      <w:pPr>
        <w:numPr>
          <w:ilvl w:val="0"/>
          <w:numId w:val="5"/>
        </w:numPr>
        <w:tabs>
          <w:tab w:val="left" w:pos="360"/>
        </w:tabs>
        <w:spacing w:line="332" w:lineRule="auto"/>
        <w:ind w:left="360" w:right="126" w:hanging="360"/>
        <w:rPr>
          <w:rFonts w:ascii="Verdana" w:eastAsia="Verdana" w:hAnsi="Verdana" w:cs="Verdana"/>
          <w:sz w:val="20"/>
          <w:szCs w:val="20"/>
        </w:rPr>
      </w:pPr>
      <w:r>
        <w:rPr>
          <w:rFonts w:ascii="Verdana" w:eastAsia="Verdana" w:hAnsi="Verdana" w:cs="Verdana"/>
          <w:sz w:val="20"/>
          <w:szCs w:val="20"/>
        </w:rPr>
        <w:t>The University of Exeter and UCLAN intervened to cancel student-run events that were intended to raise awareness about Palestinian human rights because of links to Prevent.</w:t>
      </w:r>
      <w:r>
        <w:rPr>
          <w:rFonts w:ascii="Verdana" w:eastAsia="Verdana" w:hAnsi="Verdana" w:cs="Verdana"/>
          <w:sz w:val="25"/>
          <w:szCs w:val="25"/>
          <w:vertAlign w:val="superscript"/>
        </w:rPr>
        <w:t>62</w:t>
      </w:r>
    </w:p>
    <w:p w:rsidR="00EB7C9B" w:rsidRDefault="00EB7C9B" w:rsidP="00EB7C9B">
      <w:pPr>
        <w:spacing w:line="1" w:lineRule="exact"/>
        <w:rPr>
          <w:rFonts w:ascii="Verdana" w:eastAsia="Verdana" w:hAnsi="Verdana" w:cs="Verdana"/>
          <w:sz w:val="20"/>
          <w:szCs w:val="20"/>
        </w:rPr>
      </w:pPr>
    </w:p>
    <w:p w:rsidR="00EB7C9B" w:rsidRDefault="00EB7C9B" w:rsidP="00EB7C9B">
      <w:pPr>
        <w:numPr>
          <w:ilvl w:val="0"/>
          <w:numId w:val="5"/>
        </w:numPr>
        <w:tabs>
          <w:tab w:val="left" w:pos="360"/>
        </w:tabs>
        <w:spacing w:line="332" w:lineRule="auto"/>
        <w:ind w:left="360" w:right="106" w:hanging="360"/>
        <w:jc w:val="both"/>
        <w:rPr>
          <w:rFonts w:ascii="Verdana" w:eastAsia="Verdana" w:hAnsi="Verdana" w:cs="Verdana"/>
          <w:sz w:val="20"/>
          <w:szCs w:val="20"/>
        </w:rPr>
      </w:pPr>
      <w:r>
        <w:rPr>
          <w:rFonts w:ascii="Verdana" w:eastAsia="Verdana" w:hAnsi="Verdana" w:cs="Verdana"/>
          <w:sz w:val="20"/>
          <w:szCs w:val="20"/>
        </w:rPr>
        <w:t>Muslims are fifty times more likely to be referred to Prevent than a non-Muslim. This is not conducive to an equal society, in which Islamophobia is increasing and Muslim communities are targeted.</w:t>
      </w:r>
      <w:r>
        <w:rPr>
          <w:rFonts w:ascii="Verdana" w:eastAsia="Verdana" w:hAnsi="Verdana" w:cs="Verdana"/>
          <w:sz w:val="25"/>
          <w:szCs w:val="25"/>
          <w:vertAlign w:val="superscript"/>
        </w:rPr>
        <w:t>63</w:t>
      </w:r>
    </w:p>
    <w:p w:rsidR="00EB7C9B" w:rsidRDefault="00EB7C9B" w:rsidP="00EB7C9B">
      <w:pPr>
        <w:spacing w:line="2" w:lineRule="exact"/>
        <w:rPr>
          <w:rFonts w:ascii="Verdana" w:eastAsia="Verdana" w:hAnsi="Verdana" w:cs="Verdana"/>
          <w:sz w:val="20"/>
          <w:szCs w:val="20"/>
        </w:rPr>
      </w:pPr>
    </w:p>
    <w:p w:rsidR="00EB7C9B" w:rsidRDefault="00EB7C9B" w:rsidP="00EB7C9B">
      <w:pPr>
        <w:numPr>
          <w:ilvl w:val="0"/>
          <w:numId w:val="5"/>
        </w:numPr>
        <w:tabs>
          <w:tab w:val="left" w:pos="360"/>
        </w:tabs>
        <w:spacing w:line="332" w:lineRule="auto"/>
        <w:ind w:left="360" w:right="246" w:hanging="360"/>
        <w:rPr>
          <w:rFonts w:ascii="Verdana" w:eastAsia="Verdana" w:hAnsi="Verdana" w:cs="Verdana"/>
          <w:sz w:val="20"/>
          <w:szCs w:val="20"/>
        </w:rPr>
      </w:pPr>
      <w:r>
        <w:rPr>
          <w:rFonts w:ascii="Verdana" w:eastAsia="Verdana" w:hAnsi="Verdana" w:cs="Verdana"/>
          <w:sz w:val="20"/>
          <w:szCs w:val="20"/>
        </w:rPr>
        <w:t>Links to Prevent also led The University of Westminster to install CCTVs inside their prayer rooms without consultation. This made women using the room feel uncomfortable with taking their headscarves off in a safe space.</w:t>
      </w:r>
      <w:r>
        <w:rPr>
          <w:rFonts w:ascii="Verdana" w:eastAsia="Verdana" w:hAnsi="Verdana" w:cs="Verdana"/>
          <w:sz w:val="25"/>
          <w:szCs w:val="25"/>
          <w:vertAlign w:val="superscript"/>
        </w:rPr>
        <w:t>64</w:t>
      </w:r>
    </w:p>
    <w:p w:rsidR="00EB7C9B" w:rsidRDefault="00EB7C9B" w:rsidP="00EB7C9B">
      <w:pPr>
        <w:spacing w:line="1" w:lineRule="exact"/>
        <w:rPr>
          <w:rFonts w:ascii="Verdana" w:eastAsia="Verdana" w:hAnsi="Verdana" w:cs="Verdana"/>
          <w:sz w:val="20"/>
          <w:szCs w:val="20"/>
        </w:rPr>
      </w:pPr>
    </w:p>
    <w:p w:rsidR="00EB7C9B" w:rsidRDefault="00EB7C9B" w:rsidP="00EB7C9B">
      <w:pPr>
        <w:numPr>
          <w:ilvl w:val="0"/>
          <w:numId w:val="5"/>
        </w:numPr>
        <w:tabs>
          <w:tab w:val="left" w:pos="360"/>
        </w:tabs>
        <w:spacing w:line="358" w:lineRule="auto"/>
        <w:ind w:left="360" w:right="86" w:hanging="360"/>
        <w:rPr>
          <w:rFonts w:ascii="Verdana" w:eastAsia="Verdana" w:hAnsi="Verdana" w:cs="Verdana"/>
          <w:sz w:val="20"/>
          <w:szCs w:val="20"/>
        </w:rPr>
      </w:pPr>
      <w:r>
        <w:rPr>
          <w:rFonts w:ascii="Verdana" w:eastAsia="Verdana" w:hAnsi="Verdana" w:cs="Verdana"/>
          <w:sz w:val="20"/>
          <w:szCs w:val="20"/>
        </w:rPr>
        <w:t>Free Speech is one of a number of rights to hold power to account and is inseparable from the right to organise and the right to protest. Therefore it must be defended and exercised ‘from below’.</w:t>
      </w:r>
    </w:p>
    <w:p w:rsidR="00EB7C9B" w:rsidRDefault="00EB7C9B" w:rsidP="00EB7C9B">
      <w:pPr>
        <w:spacing w:line="4" w:lineRule="exact"/>
        <w:rPr>
          <w:rFonts w:ascii="Verdana" w:eastAsia="Verdana" w:hAnsi="Verdana" w:cs="Verdana"/>
          <w:sz w:val="20"/>
          <w:szCs w:val="20"/>
        </w:rPr>
      </w:pPr>
    </w:p>
    <w:p w:rsidR="00EB7C9B" w:rsidRDefault="00EB7C9B" w:rsidP="00EB7C9B">
      <w:pPr>
        <w:numPr>
          <w:ilvl w:val="0"/>
          <w:numId w:val="5"/>
        </w:numPr>
        <w:tabs>
          <w:tab w:val="left" w:pos="360"/>
        </w:tabs>
        <w:spacing w:line="359" w:lineRule="auto"/>
        <w:ind w:left="360" w:right="466" w:hanging="360"/>
        <w:rPr>
          <w:rFonts w:ascii="Verdana" w:eastAsia="Verdana" w:hAnsi="Verdana" w:cs="Verdana"/>
          <w:sz w:val="20"/>
          <w:szCs w:val="20"/>
        </w:rPr>
      </w:pPr>
      <w:r>
        <w:rPr>
          <w:rFonts w:ascii="Verdana" w:eastAsia="Verdana" w:hAnsi="Verdana" w:cs="Verdana"/>
          <w:sz w:val="20"/>
          <w:szCs w:val="20"/>
        </w:rPr>
        <w:t>Cases invoked by the government/press as threatening free speech on campuses include ‘Decolonise’ campaigns, pro-Palestine protesting, trigger warnings and antiracist/antifascist campaigning.</w:t>
      </w:r>
    </w:p>
    <w:p w:rsidR="00EB7C9B" w:rsidRDefault="00EB7C9B" w:rsidP="00EB7C9B">
      <w:pPr>
        <w:spacing w:line="4" w:lineRule="exact"/>
        <w:rPr>
          <w:rFonts w:ascii="Verdana" w:eastAsia="Verdana" w:hAnsi="Verdana" w:cs="Verdana"/>
          <w:sz w:val="20"/>
          <w:szCs w:val="20"/>
        </w:rPr>
      </w:pPr>
    </w:p>
    <w:p w:rsidR="00EB7C9B" w:rsidRDefault="00EB7C9B" w:rsidP="00EB7C9B">
      <w:pPr>
        <w:numPr>
          <w:ilvl w:val="0"/>
          <w:numId w:val="5"/>
        </w:numPr>
        <w:tabs>
          <w:tab w:val="left" w:pos="360"/>
        </w:tabs>
        <w:spacing w:line="357" w:lineRule="auto"/>
        <w:ind w:left="360" w:right="426" w:hanging="360"/>
        <w:rPr>
          <w:rFonts w:ascii="Verdana" w:eastAsia="Verdana" w:hAnsi="Verdana" w:cs="Verdana"/>
          <w:sz w:val="20"/>
          <w:szCs w:val="20"/>
        </w:rPr>
      </w:pPr>
      <w:r>
        <w:rPr>
          <w:rFonts w:ascii="Verdana" w:eastAsia="Verdana" w:hAnsi="Verdana" w:cs="Verdana"/>
          <w:sz w:val="20"/>
          <w:szCs w:val="20"/>
        </w:rPr>
        <w:t>There is indeed an attack on Free Speech in universities - it comes from the state cracking down on student political organising, and the likes of PREVENT.</w:t>
      </w:r>
    </w:p>
    <w:p w:rsidR="00EB7C9B" w:rsidRDefault="00EB7C9B" w:rsidP="00EB7C9B">
      <w:pPr>
        <w:spacing w:line="20" w:lineRule="exact"/>
        <w:rPr>
          <w:sz w:val="20"/>
          <w:szCs w:val="20"/>
        </w:rPr>
      </w:pPr>
      <w:r>
        <w:rPr>
          <w:noProof/>
          <w:sz w:val="20"/>
          <w:szCs w:val="20"/>
        </w:rPr>
        <mc:AlternateContent>
          <mc:Choice Requires="wps">
            <w:drawing>
              <wp:anchor distT="0" distB="0" distL="114300" distR="114300" simplePos="0" relativeHeight="251660288" behindDoc="1" locked="0" layoutInCell="0" allowOverlap="1" wp14:anchorId="450A0E65" wp14:editId="2DD7051F">
                <wp:simplePos x="0" y="0"/>
                <wp:positionH relativeFrom="column">
                  <wp:posOffset>0</wp:posOffset>
                </wp:positionH>
                <wp:positionV relativeFrom="paragraph">
                  <wp:posOffset>232410</wp:posOffset>
                </wp:positionV>
                <wp:extent cx="1828800" cy="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20">
                          <a:solidFill>
                            <a:srgbClr val="000000"/>
                          </a:solidFill>
                          <a:miter lim="800000"/>
                          <a:headEnd/>
                          <a:tailEnd/>
                        </a:ln>
                      </wps:spPr>
                      <wps:bodyPr/>
                    </wps:wsp>
                  </a:graphicData>
                </a:graphic>
              </wp:anchor>
            </w:drawing>
          </mc:Choice>
          <mc:Fallback>
            <w:pict>
              <v:line w14:anchorId="4376F8CA" id="Shape 24"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0,18.3pt" to="2in,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" o:allowincell="f" filled="t" strokeweight=".6pt">
                <v:stroke joinstyle="miter"/>
                <o:lock v:ext="edit" shapetype="f"/>
              </v:line>
            </w:pict>
          </mc:Fallback>
        </mc:AlternateContent>
      </w:r>
    </w:p>
    <w:p w:rsidR="00EB7C9B" w:rsidRDefault="00EB7C9B" w:rsidP="00EB7C9B">
      <w:pPr>
        <w:spacing w:line="200" w:lineRule="exact"/>
        <w:rPr>
          <w:sz w:val="20"/>
          <w:szCs w:val="20"/>
        </w:rPr>
      </w:pPr>
    </w:p>
    <w:p w:rsidR="00EB7C9B" w:rsidRDefault="00EB7C9B" w:rsidP="00EB7C9B">
      <w:pPr>
        <w:spacing w:line="205" w:lineRule="exact"/>
        <w:rPr>
          <w:sz w:val="20"/>
          <w:szCs w:val="20"/>
        </w:rPr>
      </w:pPr>
    </w:p>
    <w:p w:rsidR="00EB7C9B" w:rsidRDefault="00EB7C9B" w:rsidP="00EB7C9B">
      <w:pPr>
        <w:numPr>
          <w:ilvl w:val="0"/>
          <w:numId w:val="6"/>
        </w:numPr>
        <w:tabs>
          <w:tab w:val="left" w:pos="140"/>
        </w:tabs>
        <w:ind w:left="140" w:hanging="140"/>
        <w:rPr>
          <w:rFonts w:ascii="Verdana" w:eastAsia="Verdana" w:hAnsi="Verdana" w:cs="Verdana"/>
          <w:color w:val="00AEC7"/>
          <w:sz w:val="12"/>
          <w:szCs w:val="12"/>
          <w:u w:val="single"/>
        </w:rPr>
      </w:pPr>
      <w:hyperlink r:id="rId10">
        <w:r>
          <w:rPr>
            <w:rFonts w:ascii="Verdana" w:eastAsia="Verdana" w:hAnsi="Verdana" w:cs="Verdana"/>
            <w:color w:val="00AEC7"/>
            <w:sz w:val="12"/>
            <w:szCs w:val="12"/>
            <w:u w:val="single"/>
          </w:rPr>
          <w:t>https://www.timeshighereducation.com/opinion/if-ofs-all-about-freedom-speech-policy-must-least-be-consistent</w:t>
        </w:r>
      </w:hyperlink>
    </w:p>
    <w:p w:rsidR="00EB7C9B" w:rsidRDefault="00EB7C9B" w:rsidP="00EB7C9B">
      <w:pPr>
        <w:spacing w:line="1" w:lineRule="exact"/>
        <w:rPr>
          <w:rFonts w:ascii="Verdana" w:eastAsia="Verdana" w:hAnsi="Verdana" w:cs="Verdana"/>
          <w:color w:val="00AEC7"/>
          <w:sz w:val="12"/>
          <w:szCs w:val="12"/>
          <w:u w:val="single"/>
        </w:rPr>
      </w:pPr>
    </w:p>
    <w:p w:rsidR="00EB7C9B" w:rsidRDefault="00EB7C9B" w:rsidP="00EB7C9B">
      <w:pPr>
        <w:numPr>
          <w:ilvl w:val="0"/>
          <w:numId w:val="6"/>
        </w:numPr>
        <w:tabs>
          <w:tab w:val="left" w:pos="140"/>
        </w:tabs>
        <w:spacing w:line="189" w:lineRule="auto"/>
        <w:ind w:left="140" w:hanging="140"/>
        <w:rPr>
          <w:rFonts w:ascii="Verdana" w:eastAsia="Verdana" w:hAnsi="Verdana" w:cs="Verdana"/>
          <w:color w:val="00AEC7"/>
          <w:sz w:val="11"/>
          <w:szCs w:val="11"/>
          <w:u w:val="single"/>
        </w:rPr>
      </w:pPr>
      <w:hyperlink r:id="rId11">
        <w:r>
          <w:rPr>
            <w:rFonts w:ascii="Verdana" w:eastAsia="Verdana" w:hAnsi="Verdana" w:cs="Verdana"/>
            <w:color w:val="00AEC7"/>
            <w:sz w:val="11"/>
            <w:szCs w:val="11"/>
            <w:u w:val="single"/>
          </w:rPr>
          <w:t>https://www.theguardian.com/world/2017/feb/27/universities-free-speech-row-halting-pro-palestinian-events</w:t>
        </w:r>
      </w:hyperlink>
    </w:p>
    <w:p w:rsidR="00EB7C9B" w:rsidRDefault="00EB7C9B" w:rsidP="00EB7C9B">
      <w:pPr>
        <w:numPr>
          <w:ilvl w:val="0"/>
          <w:numId w:val="6"/>
        </w:numPr>
        <w:tabs>
          <w:tab w:val="left" w:pos="140"/>
        </w:tabs>
        <w:spacing w:line="190" w:lineRule="auto"/>
        <w:ind w:left="140" w:hanging="140"/>
        <w:rPr>
          <w:rFonts w:ascii="Verdana" w:eastAsia="Verdana" w:hAnsi="Verdana" w:cs="Verdana"/>
          <w:color w:val="00AEC7"/>
          <w:sz w:val="11"/>
          <w:szCs w:val="11"/>
          <w:u w:val="single"/>
        </w:rPr>
      </w:pPr>
      <w:hyperlink r:id="rId12">
        <w:r>
          <w:rPr>
            <w:rFonts w:ascii="Verdana" w:eastAsia="Verdana" w:hAnsi="Verdana" w:cs="Verdana"/>
            <w:color w:val="00AEC7"/>
            <w:sz w:val="11"/>
            <w:szCs w:val="11"/>
            <w:u w:val="single"/>
          </w:rPr>
          <w:t>http://www.aljazeera.com/indepth/opinion/2017/07/criticism-prevent-based-facts-myths-170703072558455.html</w:t>
        </w:r>
      </w:hyperlink>
    </w:p>
    <w:p w:rsidR="00EB7C9B" w:rsidRDefault="00EB7C9B" w:rsidP="00EB7C9B">
      <w:pPr>
        <w:spacing w:line="2" w:lineRule="exact"/>
        <w:rPr>
          <w:rFonts w:ascii="Verdana" w:eastAsia="Verdana" w:hAnsi="Verdana" w:cs="Verdana"/>
          <w:color w:val="00AEC7"/>
          <w:sz w:val="11"/>
          <w:szCs w:val="11"/>
          <w:u w:val="single"/>
        </w:rPr>
      </w:pPr>
    </w:p>
    <w:p w:rsidR="00EB7C9B" w:rsidRDefault="00EB7C9B" w:rsidP="00EB7C9B">
      <w:pPr>
        <w:numPr>
          <w:ilvl w:val="0"/>
          <w:numId w:val="6"/>
        </w:numPr>
        <w:tabs>
          <w:tab w:val="left" w:pos="140"/>
        </w:tabs>
        <w:spacing w:line="190" w:lineRule="auto"/>
        <w:ind w:left="140" w:hanging="140"/>
        <w:rPr>
          <w:rFonts w:ascii="Verdana" w:eastAsia="Verdana" w:hAnsi="Verdana" w:cs="Verdana"/>
          <w:color w:val="00AEC7"/>
          <w:sz w:val="11"/>
          <w:szCs w:val="11"/>
          <w:u w:val="single"/>
        </w:rPr>
      </w:pPr>
      <w:hyperlink r:id="rId13" w:anchor=".Wnc46jTLjIU">
        <w:r>
          <w:rPr>
            <w:rFonts w:ascii="Verdana" w:eastAsia="Verdana" w:hAnsi="Verdana" w:cs="Verdana"/>
            <w:color w:val="00AEC7"/>
            <w:sz w:val="11"/>
            <w:szCs w:val="11"/>
            <w:u w:val="single"/>
          </w:rPr>
          <w:t>http://www.spiked-online.com/newsite/article/preventing-free-thought-on-campus/18062#.Wnc46jTLjIU</w:t>
        </w:r>
      </w:hyperlink>
    </w:p>
    <w:p w:rsidR="00EB7C9B" w:rsidRDefault="00EB7C9B" w:rsidP="00EB7C9B">
      <w:pPr>
        <w:spacing w:line="374" w:lineRule="exact"/>
        <w:rPr>
          <w:rFonts w:ascii="Verdana" w:eastAsia="Verdana" w:hAnsi="Verdana" w:cs="Verdana"/>
          <w:color w:val="00AEC7"/>
          <w:sz w:val="15"/>
          <w:szCs w:val="15"/>
          <w:vertAlign w:val="superscript"/>
        </w:rPr>
      </w:pPr>
    </w:p>
    <w:p w:rsidR="00EB7C9B" w:rsidRDefault="00EB7C9B" w:rsidP="00EB7C9B">
      <w:pPr>
        <w:ind w:right="6"/>
        <w:jc w:val="right"/>
        <w:rPr>
          <w:sz w:val="20"/>
          <w:szCs w:val="20"/>
        </w:rPr>
      </w:pPr>
      <w:r>
        <w:rPr>
          <w:rFonts w:ascii="Verdana" w:eastAsia="Verdana" w:hAnsi="Verdana" w:cs="Verdana"/>
          <w:b/>
          <w:bCs/>
          <w:color w:val="00AEC7"/>
          <w:sz w:val="18"/>
          <w:szCs w:val="18"/>
        </w:rPr>
        <w:t>69</w:t>
      </w:r>
    </w:p>
    <w:p w:rsidR="00EB7C9B" w:rsidRDefault="00EB7C9B" w:rsidP="00EB7C9B">
      <w:pPr>
        <w:sectPr w:rsidR="00EB7C9B">
          <w:pgSz w:w="11900" w:h="16838"/>
          <w:pgMar w:top="1440" w:right="1440" w:bottom="427" w:left="1440" w:header="0" w:footer="0" w:gutter="0"/>
          <w:cols w:space="720" w:equalWidth="0">
            <w:col w:w="9026"/>
          </w:cols>
        </w:sectPr>
      </w:pPr>
    </w:p>
    <w:p w:rsidR="00EB7C9B" w:rsidRDefault="00EB7C9B" w:rsidP="00EB7C9B">
      <w:pPr>
        <w:spacing w:line="1" w:lineRule="exact"/>
        <w:rPr>
          <w:sz w:val="20"/>
          <w:szCs w:val="20"/>
        </w:rPr>
      </w:pPr>
      <w:bookmarkStart w:id="1" w:name="page71"/>
      <w:bookmarkEnd w:id="1"/>
    </w:p>
    <w:p w:rsidR="00EB7C9B" w:rsidRDefault="00EB7C9B" w:rsidP="00EB7C9B">
      <w:pPr>
        <w:numPr>
          <w:ilvl w:val="0"/>
          <w:numId w:val="7"/>
        </w:numPr>
        <w:tabs>
          <w:tab w:val="left" w:pos="360"/>
        </w:tabs>
        <w:spacing w:line="357" w:lineRule="auto"/>
        <w:ind w:left="360" w:right="666" w:hanging="360"/>
        <w:rPr>
          <w:rFonts w:ascii="Verdana" w:eastAsia="Verdana" w:hAnsi="Verdana" w:cs="Verdana"/>
          <w:sz w:val="20"/>
          <w:szCs w:val="20"/>
        </w:rPr>
      </w:pPr>
      <w:r>
        <w:rPr>
          <w:rFonts w:ascii="Verdana" w:eastAsia="Verdana" w:hAnsi="Verdana" w:cs="Verdana"/>
          <w:sz w:val="20"/>
          <w:szCs w:val="20"/>
        </w:rPr>
        <w:t>Student events have come under heavy restrictions and censorship under the Prevent duty. This includes demands for security, monitoring or vetting guests.</w:t>
      </w:r>
    </w:p>
    <w:p w:rsidR="00EB7C9B" w:rsidRDefault="00EB7C9B" w:rsidP="00EB7C9B">
      <w:pPr>
        <w:spacing w:line="3" w:lineRule="exact"/>
        <w:rPr>
          <w:rFonts w:ascii="Verdana" w:eastAsia="Verdana" w:hAnsi="Verdana" w:cs="Verdana"/>
          <w:sz w:val="20"/>
          <w:szCs w:val="20"/>
        </w:rPr>
      </w:pPr>
    </w:p>
    <w:p w:rsidR="00EB7C9B" w:rsidRDefault="00EB7C9B" w:rsidP="00EB7C9B">
      <w:pPr>
        <w:numPr>
          <w:ilvl w:val="0"/>
          <w:numId w:val="7"/>
        </w:numPr>
        <w:tabs>
          <w:tab w:val="left" w:pos="360"/>
        </w:tabs>
        <w:ind w:left="360" w:hanging="360"/>
        <w:rPr>
          <w:rFonts w:ascii="Verdana" w:eastAsia="Verdana" w:hAnsi="Verdana" w:cs="Verdana"/>
          <w:sz w:val="20"/>
          <w:szCs w:val="20"/>
        </w:rPr>
      </w:pPr>
      <w:r>
        <w:rPr>
          <w:rFonts w:ascii="Verdana" w:eastAsia="Verdana" w:hAnsi="Verdana" w:cs="Verdana"/>
          <w:sz w:val="20"/>
          <w:szCs w:val="20"/>
        </w:rPr>
        <w:t>Direct action has a proud tradition in the student movement that we must defend.</w:t>
      </w:r>
    </w:p>
    <w:p w:rsidR="00EB7C9B" w:rsidRDefault="00EB7C9B" w:rsidP="00EB7C9B">
      <w:pPr>
        <w:spacing w:line="124" w:lineRule="exact"/>
        <w:rPr>
          <w:rFonts w:ascii="Verdana" w:eastAsia="Verdana" w:hAnsi="Verdana" w:cs="Verdana"/>
          <w:sz w:val="20"/>
          <w:szCs w:val="20"/>
        </w:rPr>
      </w:pPr>
    </w:p>
    <w:p w:rsidR="00EB7C9B" w:rsidRDefault="00EB7C9B" w:rsidP="00EB7C9B">
      <w:pPr>
        <w:spacing w:line="357" w:lineRule="auto"/>
        <w:ind w:left="360" w:right="366"/>
        <w:rPr>
          <w:rFonts w:ascii="Verdana" w:eastAsia="Verdana" w:hAnsi="Verdana" w:cs="Verdana"/>
          <w:sz w:val="20"/>
          <w:szCs w:val="20"/>
        </w:rPr>
      </w:pPr>
      <w:r>
        <w:rPr>
          <w:rFonts w:ascii="Verdana" w:eastAsia="Verdana" w:hAnsi="Verdana" w:cs="Verdana"/>
          <w:sz w:val="20"/>
          <w:szCs w:val="20"/>
        </w:rPr>
        <w:t>Universities should not be made to police students’ action, nor should SUs ever be complicit in doing so.</w:t>
      </w:r>
    </w:p>
    <w:p w:rsidR="00EB7C9B" w:rsidRDefault="00EB7C9B" w:rsidP="00EB7C9B">
      <w:pPr>
        <w:spacing w:line="366" w:lineRule="exact"/>
        <w:rPr>
          <w:sz w:val="20"/>
          <w:szCs w:val="20"/>
        </w:rPr>
      </w:pPr>
    </w:p>
    <w:p w:rsidR="00EB7C9B" w:rsidRDefault="00EB7C9B" w:rsidP="00EB7C9B">
      <w:pPr>
        <w:rPr>
          <w:sz w:val="20"/>
          <w:szCs w:val="20"/>
        </w:rPr>
      </w:pPr>
      <w:r>
        <w:rPr>
          <w:rFonts w:ascii="Verdana" w:eastAsia="Verdana" w:hAnsi="Verdana" w:cs="Verdana"/>
          <w:b/>
          <w:bCs/>
          <w:color w:val="00AEC7"/>
          <w:sz w:val="20"/>
          <w:szCs w:val="20"/>
        </w:rPr>
        <w:t>Conference resolves to</w:t>
      </w:r>
    </w:p>
    <w:p w:rsidR="00EB7C9B" w:rsidRDefault="00EB7C9B" w:rsidP="00EB7C9B">
      <w:pPr>
        <w:spacing w:line="125" w:lineRule="exact"/>
        <w:rPr>
          <w:sz w:val="20"/>
          <w:szCs w:val="20"/>
        </w:rPr>
      </w:pPr>
    </w:p>
    <w:p w:rsidR="00EB7C9B" w:rsidRDefault="00EB7C9B" w:rsidP="00EB7C9B">
      <w:pPr>
        <w:numPr>
          <w:ilvl w:val="0"/>
          <w:numId w:val="8"/>
        </w:numPr>
        <w:tabs>
          <w:tab w:val="left" w:pos="360"/>
        </w:tabs>
        <w:spacing w:line="359" w:lineRule="auto"/>
        <w:ind w:left="360" w:right="386" w:hanging="360"/>
        <w:rPr>
          <w:rFonts w:ascii="Verdana" w:eastAsia="Verdana" w:hAnsi="Verdana" w:cs="Verdana"/>
          <w:sz w:val="20"/>
          <w:szCs w:val="20"/>
        </w:rPr>
      </w:pPr>
      <w:r>
        <w:rPr>
          <w:rFonts w:ascii="Verdana" w:eastAsia="Verdana" w:hAnsi="Verdana" w:cs="Verdana"/>
          <w:sz w:val="20"/>
          <w:szCs w:val="20"/>
        </w:rPr>
        <w:t>To mandate the Vice President Union Development to support Students Unions to develop a ‘Know Your Rights’ toolkit, with legal briefings on student rights and freedoms as enshrined in legislation, including our rights of freedom of expression and freedom of speech</w:t>
      </w:r>
    </w:p>
    <w:p w:rsidR="00EB7C9B" w:rsidRDefault="00EB7C9B" w:rsidP="00EB7C9B">
      <w:pPr>
        <w:spacing w:line="4" w:lineRule="exact"/>
        <w:rPr>
          <w:rFonts w:ascii="Verdana" w:eastAsia="Verdana" w:hAnsi="Verdana" w:cs="Verdana"/>
          <w:sz w:val="20"/>
          <w:szCs w:val="20"/>
        </w:rPr>
      </w:pPr>
    </w:p>
    <w:p w:rsidR="00EB7C9B" w:rsidRDefault="00EB7C9B" w:rsidP="00EB7C9B">
      <w:pPr>
        <w:numPr>
          <w:ilvl w:val="0"/>
          <w:numId w:val="8"/>
        </w:numPr>
        <w:tabs>
          <w:tab w:val="left" w:pos="360"/>
        </w:tabs>
        <w:spacing w:line="357" w:lineRule="auto"/>
        <w:ind w:left="360" w:right="206" w:hanging="360"/>
        <w:rPr>
          <w:rFonts w:ascii="Verdana" w:eastAsia="Verdana" w:hAnsi="Verdana" w:cs="Verdana"/>
          <w:sz w:val="20"/>
          <w:szCs w:val="20"/>
        </w:rPr>
      </w:pPr>
      <w:r>
        <w:rPr>
          <w:rFonts w:ascii="Verdana" w:eastAsia="Verdana" w:hAnsi="Verdana" w:cs="Verdana"/>
          <w:sz w:val="20"/>
          <w:szCs w:val="20"/>
        </w:rPr>
        <w:t>To continue the campaign against the Prevent duty, which curtails all our rights and freedoms</w:t>
      </w:r>
    </w:p>
    <w:p w:rsidR="00EB7C9B" w:rsidRDefault="00EB7C9B" w:rsidP="00EB7C9B">
      <w:pPr>
        <w:spacing w:line="7" w:lineRule="exact"/>
        <w:rPr>
          <w:rFonts w:ascii="Verdana" w:eastAsia="Verdana" w:hAnsi="Verdana" w:cs="Verdana"/>
          <w:sz w:val="20"/>
          <w:szCs w:val="20"/>
        </w:rPr>
      </w:pPr>
    </w:p>
    <w:p w:rsidR="00EB7C9B" w:rsidRDefault="00EB7C9B" w:rsidP="00EB7C9B">
      <w:pPr>
        <w:numPr>
          <w:ilvl w:val="0"/>
          <w:numId w:val="8"/>
        </w:numPr>
        <w:tabs>
          <w:tab w:val="left" w:pos="360"/>
        </w:tabs>
        <w:spacing w:line="357" w:lineRule="auto"/>
        <w:ind w:left="360" w:right="426" w:hanging="360"/>
        <w:rPr>
          <w:rFonts w:ascii="Verdana" w:eastAsia="Verdana" w:hAnsi="Verdana" w:cs="Verdana"/>
          <w:sz w:val="20"/>
          <w:szCs w:val="20"/>
        </w:rPr>
      </w:pPr>
      <w:r>
        <w:rPr>
          <w:rFonts w:ascii="Verdana" w:eastAsia="Verdana" w:hAnsi="Verdana" w:cs="Verdana"/>
          <w:sz w:val="20"/>
          <w:szCs w:val="20"/>
        </w:rPr>
        <w:t>To work with other unions, including UCU, to lobby the government to review and repeal the Prevent duty.</w:t>
      </w:r>
    </w:p>
    <w:p w:rsidR="00EB7C9B" w:rsidRDefault="00EB7C9B" w:rsidP="00EB7C9B">
      <w:pPr>
        <w:spacing w:line="6" w:lineRule="exact"/>
        <w:rPr>
          <w:rFonts w:ascii="Verdana" w:eastAsia="Verdana" w:hAnsi="Verdana" w:cs="Verdana"/>
          <w:sz w:val="20"/>
          <w:szCs w:val="20"/>
        </w:rPr>
      </w:pPr>
    </w:p>
    <w:p w:rsidR="00EB7C9B" w:rsidRDefault="00EB7C9B" w:rsidP="00EB7C9B">
      <w:pPr>
        <w:numPr>
          <w:ilvl w:val="0"/>
          <w:numId w:val="8"/>
        </w:numPr>
        <w:tabs>
          <w:tab w:val="left" w:pos="360"/>
        </w:tabs>
        <w:spacing w:line="357" w:lineRule="auto"/>
        <w:ind w:left="360" w:right="446" w:hanging="360"/>
        <w:rPr>
          <w:rFonts w:ascii="Verdana" w:eastAsia="Verdana" w:hAnsi="Verdana" w:cs="Verdana"/>
          <w:sz w:val="20"/>
          <w:szCs w:val="20"/>
        </w:rPr>
      </w:pPr>
      <w:r>
        <w:rPr>
          <w:rFonts w:ascii="Verdana" w:eastAsia="Verdana" w:hAnsi="Verdana" w:cs="Verdana"/>
          <w:sz w:val="20"/>
          <w:szCs w:val="20"/>
        </w:rPr>
        <w:t xml:space="preserve">Lobby for an end to the </w:t>
      </w:r>
      <w:proofErr w:type="spellStart"/>
      <w:r>
        <w:rPr>
          <w:rFonts w:ascii="Verdana" w:eastAsia="Verdana" w:hAnsi="Verdana" w:cs="Verdana"/>
          <w:sz w:val="20"/>
          <w:szCs w:val="20"/>
        </w:rPr>
        <w:t>OfS</w:t>
      </w:r>
      <w:proofErr w:type="spellEnd"/>
      <w:r>
        <w:rPr>
          <w:rFonts w:ascii="Verdana" w:eastAsia="Verdana" w:hAnsi="Verdana" w:cs="Verdana"/>
          <w:sz w:val="20"/>
          <w:szCs w:val="20"/>
        </w:rPr>
        <w:t>’ ‘Free Speech’ duty, as government bodies cannot be trusted to defend Free Speech.</w:t>
      </w:r>
    </w:p>
    <w:p w:rsidR="00EB7C9B" w:rsidRDefault="00EB7C9B" w:rsidP="00EB7C9B">
      <w:pPr>
        <w:spacing w:line="6" w:lineRule="exact"/>
        <w:rPr>
          <w:rFonts w:ascii="Verdana" w:eastAsia="Verdana" w:hAnsi="Verdana" w:cs="Verdana"/>
          <w:sz w:val="20"/>
          <w:szCs w:val="20"/>
        </w:rPr>
      </w:pPr>
    </w:p>
    <w:p w:rsidR="00EB7C9B" w:rsidRDefault="00EB7C9B" w:rsidP="00EB7C9B">
      <w:pPr>
        <w:numPr>
          <w:ilvl w:val="0"/>
          <w:numId w:val="8"/>
        </w:numPr>
        <w:tabs>
          <w:tab w:val="left" w:pos="360"/>
        </w:tabs>
        <w:spacing w:line="354" w:lineRule="auto"/>
        <w:ind w:left="360" w:right="626" w:hanging="360"/>
        <w:rPr>
          <w:rFonts w:ascii="Verdana" w:eastAsia="Verdana" w:hAnsi="Verdana" w:cs="Verdana"/>
          <w:sz w:val="20"/>
          <w:szCs w:val="20"/>
        </w:rPr>
      </w:pPr>
      <w:r>
        <w:rPr>
          <w:rFonts w:ascii="Verdana" w:eastAsia="Verdana" w:hAnsi="Verdana" w:cs="Verdana"/>
          <w:sz w:val="20"/>
          <w:szCs w:val="20"/>
        </w:rPr>
        <w:t>Campaign against any future laws or policies that stifle or criminalise direct and disruptive action.</w:t>
      </w:r>
    </w:p>
    <w:p w:rsidR="00EB7C9B" w:rsidRDefault="00EB7C9B" w:rsidP="00EB7C9B">
      <w:pPr>
        <w:spacing w:line="7" w:lineRule="exact"/>
        <w:rPr>
          <w:rFonts w:ascii="Verdana" w:eastAsia="Verdana" w:hAnsi="Verdana" w:cs="Verdana"/>
          <w:sz w:val="20"/>
          <w:szCs w:val="20"/>
        </w:rPr>
      </w:pPr>
    </w:p>
    <w:p w:rsidR="00EB7C9B" w:rsidRDefault="00EB7C9B" w:rsidP="00EB7C9B">
      <w:pPr>
        <w:numPr>
          <w:ilvl w:val="0"/>
          <w:numId w:val="8"/>
        </w:numPr>
        <w:tabs>
          <w:tab w:val="left" w:pos="360"/>
        </w:tabs>
        <w:ind w:left="360" w:hanging="360"/>
        <w:rPr>
          <w:rFonts w:ascii="Verdana" w:eastAsia="Verdana" w:hAnsi="Verdana" w:cs="Verdana"/>
          <w:sz w:val="20"/>
          <w:szCs w:val="20"/>
        </w:rPr>
      </w:pPr>
      <w:r>
        <w:rPr>
          <w:rFonts w:ascii="Verdana" w:eastAsia="Verdana" w:hAnsi="Verdana" w:cs="Verdana"/>
          <w:sz w:val="20"/>
          <w:szCs w:val="20"/>
        </w:rPr>
        <w:t>Continue to campaign for the abolition of PREVENT and the Prevent duty.</w:t>
      </w:r>
    </w:p>
    <w:p w:rsidR="00EB7C9B" w:rsidRDefault="00EB7C9B" w:rsidP="00EB7C9B">
      <w:pPr>
        <w:spacing w:line="124" w:lineRule="exact"/>
        <w:rPr>
          <w:rFonts w:ascii="Verdana" w:eastAsia="Verdana" w:hAnsi="Verdana" w:cs="Verdana"/>
          <w:sz w:val="20"/>
          <w:szCs w:val="20"/>
        </w:rPr>
      </w:pPr>
    </w:p>
    <w:p w:rsidR="00EB7C9B" w:rsidRDefault="00EB7C9B" w:rsidP="00EB7C9B">
      <w:pPr>
        <w:numPr>
          <w:ilvl w:val="0"/>
          <w:numId w:val="8"/>
        </w:numPr>
        <w:tabs>
          <w:tab w:val="left" w:pos="360"/>
        </w:tabs>
        <w:spacing w:line="357" w:lineRule="auto"/>
        <w:ind w:left="360" w:right="346" w:hanging="360"/>
        <w:rPr>
          <w:rFonts w:ascii="Verdana" w:eastAsia="Verdana" w:hAnsi="Verdana" w:cs="Verdana"/>
          <w:sz w:val="20"/>
          <w:szCs w:val="20"/>
        </w:rPr>
      </w:pPr>
      <w:r>
        <w:rPr>
          <w:rFonts w:ascii="Verdana" w:eastAsia="Verdana" w:hAnsi="Verdana" w:cs="Verdana"/>
          <w:sz w:val="20"/>
          <w:szCs w:val="20"/>
        </w:rPr>
        <w:t>Campaign for an end to extra restrictions and bureaucracy being applied to events and student activities under the Prevent duty.</w:t>
      </w:r>
    </w:p>
    <w:p w:rsidR="00EB7C9B" w:rsidRDefault="00EB7C9B" w:rsidP="00EB7C9B">
      <w:pPr>
        <w:spacing w:line="200" w:lineRule="exact"/>
        <w:rPr>
          <w:sz w:val="20"/>
          <w:szCs w:val="20"/>
        </w:rPr>
      </w:pPr>
    </w:p>
    <w:p w:rsidR="00EB7C9B" w:rsidRDefault="00EB7C9B" w:rsidP="00EB7C9B">
      <w:pPr>
        <w:spacing w:line="200" w:lineRule="exact"/>
        <w:rPr>
          <w:sz w:val="20"/>
          <w:szCs w:val="20"/>
        </w:rPr>
      </w:pPr>
    </w:p>
    <w:p w:rsidR="00EB7C9B" w:rsidRDefault="00EB7C9B" w:rsidP="00EB7C9B">
      <w:pPr>
        <w:spacing w:line="200" w:lineRule="exact"/>
        <w:rPr>
          <w:sz w:val="20"/>
          <w:szCs w:val="20"/>
        </w:rPr>
      </w:pPr>
    </w:p>
    <w:p w:rsidR="00EB7C9B" w:rsidRDefault="00EB7C9B" w:rsidP="00EB7C9B">
      <w:pPr>
        <w:spacing w:line="200" w:lineRule="exact"/>
        <w:rPr>
          <w:sz w:val="20"/>
          <w:szCs w:val="20"/>
        </w:rPr>
      </w:pPr>
    </w:p>
    <w:p w:rsidR="00EB7C9B" w:rsidRDefault="00EB7C9B" w:rsidP="00EB7C9B">
      <w:pPr>
        <w:spacing w:line="200" w:lineRule="exact"/>
        <w:rPr>
          <w:sz w:val="20"/>
          <w:szCs w:val="20"/>
        </w:rPr>
      </w:pPr>
    </w:p>
    <w:p w:rsidR="0069529D" w:rsidRDefault="00EB7C9B">
      <w:bookmarkStart w:id="2" w:name="_GoBack"/>
      <w:bookmarkEnd w:id="2"/>
    </w:p>
    <w:sectPr w:rsidR="006952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EF5"/>
    <w:multiLevelType w:val="hybridMultilevel"/>
    <w:tmpl w:val="D3026C36"/>
    <w:lvl w:ilvl="0" w:tplc="BEE037B6">
      <w:start w:val="11"/>
      <w:numFmt w:val="decimal"/>
      <w:lvlText w:val="%1."/>
      <w:lvlJc w:val="left"/>
    </w:lvl>
    <w:lvl w:ilvl="1" w:tplc="BE3EF462">
      <w:numFmt w:val="decimal"/>
      <w:lvlText w:val=""/>
      <w:lvlJc w:val="left"/>
    </w:lvl>
    <w:lvl w:ilvl="2" w:tplc="E93C3562">
      <w:numFmt w:val="decimal"/>
      <w:lvlText w:val=""/>
      <w:lvlJc w:val="left"/>
    </w:lvl>
    <w:lvl w:ilvl="3" w:tplc="6E8EA6A4">
      <w:numFmt w:val="decimal"/>
      <w:lvlText w:val=""/>
      <w:lvlJc w:val="left"/>
    </w:lvl>
    <w:lvl w:ilvl="4" w:tplc="63729648">
      <w:numFmt w:val="decimal"/>
      <w:lvlText w:val=""/>
      <w:lvlJc w:val="left"/>
    </w:lvl>
    <w:lvl w:ilvl="5" w:tplc="E02207C6">
      <w:numFmt w:val="decimal"/>
      <w:lvlText w:val=""/>
      <w:lvlJc w:val="left"/>
    </w:lvl>
    <w:lvl w:ilvl="6" w:tplc="86AAC5FC">
      <w:numFmt w:val="decimal"/>
      <w:lvlText w:val=""/>
      <w:lvlJc w:val="left"/>
    </w:lvl>
    <w:lvl w:ilvl="7" w:tplc="C6788576">
      <w:numFmt w:val="decimal"/>
      <w:lvlText w:val=""/>
      <w:lvlJc w:val="left"/>
    </w:lvl>
    <w:lvl w:ilvl="8" w:tplc="661A56D0">
      <w:numFmt w:val="decimal"/>
      <w:lvlText w:val=""/>
      <w:lvlJc w:val="left"/>
    </w:lvl>
  </w:abstractNum>
  <w:abstractNum w:abstractNumId="1" w15:restartNumberingAfterBreak="0">
    <w:nsid w:val="00001DB5"/>
    <w:multiLevelType w:val="hybridMultilevel"/>
    <w:tmpl w:val="EAA2C684"/>
    <w:lvl w:ilvl="0" w:tplc="67D82C88">
      <w:start w:val="59"/>
      <w:numFmt w:val="decimal"/>
      <w:lvlText w:val="%1"/>
      <w:lvlJc w:val="left"/>
    </w:lvl>
    <w:lvl w:ilvl="1" w:tplc="A3487316">
      <w:numFmt w:val="decimal"/>
      <w:lvlText w:val=""/>
      <w:lvlJc w:val="left"/>
    </w:lvl>
    <w:lvl w:ilvl="2" w:tplc="A7A2832A">
      <w:numFmt w:val="decimal"/>
      <w:lvlText w:val=""/>
      <w:lvlJc w:val="left"/>
    </w:lvl>
    <w:lvl w:ilvl="3" w:tplc="5518CCAE">
      <w:numFmt w:val="decimal"/>
      <w:lvlText w:val=""/>
      <w:lvlJc w:val="left"/>
    </w:lvl>
    <w:lvl w:ilvl="4" w:tplc="CB089154">
      <w:numFmt w:val="decimal"/>
      <w:lvlText w:val=""/>
      <w:lvlJc w:val="left"/>
    </w:lvl>
    <w:lvl w:ilvl="5" w:tplc="B5CE0EC8">
      <w:numFmt w:val="decimal"/>
      <w:lvlText w:val=""/>
      <w:lvlJc w:val="left"/>
    </w:lvl>
    <w:lvl w:ilvl="6" w:tplc="92B6CAAA">
      <w:numFmt w:val="decimal"/>
      <w:lvlText w:val=""/>
      <w:lvlJc w:val="left"/>
    </w:lvl>
    <w:lvl w:ilvl="7" w:tplc="8BF855CA">
      <w:numFmt w:val="decimal"/>
      <w:lvlText w:val=""/>
      <w:lvlJc w:val="left"/>
    </w:lvl>
    <w:lvl w:ilvl="8" w:tplc="A09E6AC6">
      <w:numFmt w:val="decimal"/>
      <w:lvlText w:val=""/>
      <w:lvlJc w:val="left"/>
    </w:lvl>
  </w:abstractNum>
  <w:abstractNum w:abstractNumId="2" w15:restartNumberingAfterBreak="0">
    <w:nsid w:val="00002237"/>
    <w:multiLevelType w:val="hybridMultilevel"/>
    <w:tmpl w:val="2BBC3F0C"/>
    <w:lvl w:ilvl="0" w:tplc="2D4882EC">
      <w:start w:val="1"/>
      <w:numFmt w:val="decimal"/>
      <w:lvlText w:val="%1."/>
      <w:lvlJc w:val="left"/>
    </w:lvl>
    <w:lvl w:ilvl="1" w:tplc="2244159E">
      <w:numFmt w:val="decimal"/>
      <w:lvlText w:val=""/>
      <w:lvlJc w:val="left"/>
    </w:lvl>
    <w:lvl w:ilvl="2" w:tplc="8DFA28A0">
      <w:numFmt w:val="decimal"/>
      <w:lvlText w:val=""/>
      <w:lvlJc w:val="left"/>
    </w:lvl>
    <w:lvl w:ilvl="3" w:tplc="DD0A8D8C">
      <w:numFmt w:val="decimal"/>
      <w:lvlText w:val=""/>
      <w:lvlJc w:val="left"/>
    </w:lvl>
    <w:lvl w:ilvl="4" w:tplc="CAA25B22">
      <w:numFmt w:val="decimal"/>
      <w:lvlText w:val=""/>
      <w:lvlJc w:val="left"/>
    </w:lvl>
    <w:lvl w:ilvl="5" w:tplc="9EE8D8CE">
      <w:numFmt w:val="decimal"/>
      <w:lvlText w:val=""/>
      <w:lvlJc w:val="left"/>
    </w:lvl>
    <w:lvl w:ilvl="6" w:tplc="1458F2F2">
      <w:numFmt w:val="decimal"/>
      <w:lvlText w:val=""/>
      <w:lvlJc w:val="left"/>
    </w:lvl>
    <w:lvl w:ilvl="7" w:tplc="B27CD60E">
      <w:numFmt w:val="decimal"/>
      <w:lvlText w:val=""/>
      <w:lvlJc w:val="left"/>
    </w:lvl>
    <w:lvl w:ilvl="8" w:tplc="8CA418BC">
      <w:numFmt w:val="decimal"/>
      <w:lvlText w:val=""/>
      <w:lvlJc w:val="left"/>
    </w:lvl>
  </w:abstractNum>
  <w:abstractNum w:abstractNumId="3" w15:restartNumberingAfterBreak="0">
    <w:nsid w:val="00002BB8"/>
    <w:multiLevelType w:val="hybridMultilevel"/>
    <w:tmpl w:val="54E68344"/>
    <w:lvl w:ilvl="0" w:tplc="2F985CB4">
      <w:start w:val="58"/>
      <w:numFmt w:val="decimal"/>
      <w:lvlText w:val="%1"/>
      <w:lvlJc w:val="left"/>
    </w:lvl>
    <w:lvl w:ilvl="1" w:tplc="E84EBAB8">
      <w:numFmt w:val="decimal"/>
      <w:lvlText w:val=""/>
      <w:lvlJc w:val="left"/>
    </w:lvl>
    <w:lvl w:ilvl="2" w:tplc="AF086F0C">
      <w:numFmt w:val="decimal"/>
      <w:lvlText w:val=""/>
      <w:lvlJc w:val="left"/>
    </w:lvl>
    <w:lvl w:ilvl="3" w:tplc="BFE40244">
      <w:numFmt w:val="decimal"/>
      <w:lvlText w:val=""/>
      <w:lvlJc w:val="left"/>
    </w:lvl>
    <w:lvl w:ilvl="4" w:tplc="6BB44EA6">
      <w:numFmt w:val="decimal"/>
      <w:lvlText w:val=""/>
      <w:lvlJc w:val="left"/>
    </w:lvl>
    <w:lvl w:ilvl="5" w:tplc="A9F80096">
      <w:numFmt w:val="decimal"/>
      <w:lvlText w:val=""/>
      <w:lvlJc w:val="left"/>
    </w:lvl>
    <w:lvl w:ilvl="6" w:tplc="EEA028B8">
      <w:numFmt w:val="decimal"/>
      <w:lvlText w:val=""/>
      <w:lvlJc w:val="left"/>
    </w:lvl>
    <w:lvl w:ilvl="7" w:tplc="6F9897AC">
      <w:numFmt w:val="decimal"/>
      <w:lvlText w:val=""/>
      <w:lvlJc w:val="left"/>
    </w:lvl>
    <w:lvl w:ilvl="8" w:tplc="0B9CACF6">
      <w:numFmt w:val="decimal"/>
      <w:lvlText w:val=""/>
      <w:lvlJc w:val="left"/>
    </w:lvl>
  </w:abstractNum>
  <w:abstractNum w:abstractNumId="4" w15:restartNumberingAfterBreak="0">
    <w:nsid w:val="00002F95"/>
    <w:multiLevelType w:val="hybridMultilevel"/>
    <w:tmpl w:val="51BE6682"/>
    <w:lvl w:ilvl="0" w:tplc="1DCC672C">
      <w:start w:val="1"/>
      <w:numFmt w:val="decimal"/>
      <w:lvlText w:val="%1."/>
      <w:lvlJc w:val="left"/>
    </w:lvl>
    <w:lvl w:ilvl="1" w:tplc="86723AB4">
      <w:numFmt w:val="decimal"/>
      <w:lvlText w:val=""/>
      <w:lvlJc w:val="left"/>
    </w:lvl>
    <w:lvl w:ilvl="2" w:tplc="7866711E">
      <w:numFmt w:val="decimal"/>
      <w:lvlText w:val=""/>
      <w:lvlJc w:val="left"/>
    </w:lvl>
    <w:lvl w:ilvl="3" w:tplc="2EDC105C">
      <w:numFmt w:val="decimal"/>
      <w:lvlText w:val=""/>
      <w:lvlJc w:val="left"/>
    </w:lvl>
    <w:lvl w:ilvl="4" w:tplc="F3B4FEB2">
      <w:numFmt w:val="decimal"/>
      <w:lvlText w:val=""/>
      <w:lvlJc w:val="left"/>
    </w:lvl>
    <w:lvl w:ilvl="5" w:tplc="7C58E3A6">
      <w:numFmt w:val="decimal"/>
      <w:lvlText w:val=""/>
      <w:lvlJc w:val="left"/>
    </w:lvl>
    <w:lvl w:ilvl="6" w:tplc="08F01A34">
      <w:numFmt w:val="decimal"/>
      <w:lvlText w:val=""/>
      <w:lvlJc w:val="left"/>
    </w:lvl>
    <w:lvl w:ilvl="7" w:tplc="94B2DCBC">
      <w:numFmt w:val="decimal"/>
      <w:lvlText w:val=""/>
      <w:lvlJc w:val="left"/>
    </w:lvl>
    <w:lvl w:ilvl="8" w:tplc="C79ADEBC">
      <w:numFmt w:val="decimal"/>
      <w:lvlText w:val=""/>
      <w:lvlJc w:val="left"/>
    </w:lvl>
  </w:abstractNum>
  <w:abstractNum w:abstractNumId="5" w15:restartNumberingAfterBreak="0">
    <w:nsid w:val="00005CDF"/>
    <w:multiLevelType w:val="hybridMultilevel"/>
    <w:tmpl w:val="D83AD5F6"/>
    <w:lvl w:ilvl="0" w:tplc="E65873FA">
      <w:start w:val="1"/>
      <w:numFmt w:val="decimal"/>
      <w:lvlText w:val="%1."/>
      <w:lvlJc w:val="left"/>
    </w:lvl>
    <w:lvl w:ilvl="1" w:tplc="CA747A72">
      <w:numFmt w:val="decimal"/>
      <w:lvlText w:val=""/>
      <w:lvlJc w:val="left"/>
    </w:lvl>
    <w:lvl w:ilvl="2" w:tplc="F24263D8">
      <w:numFmt w:val="decimal"/>
      <w:lvlText w:val=""/>
      <w:lvlJc w:val="left"/>
    </w:lvl>
    <w:lvl w:ilvl="3" w:tplc="CBCC10B8">
      <w:numFmt w:val="decimal"/>
      <w:lvlText w:val=""/>
      <w:lvlJc w:val="left"/>
    </w:lvl>
    <w:lvl w:ilvl="4" w:tplc="A18A9EAC">
      <w:numFmt w:val="decimal"/>
      <w:lvlText w:val=""/>
      <w:lvlJc w:val="left"/>
    </w:lvl>
    <w:lvl w:ilvl="5" w:tplc="CCE632B0">
      <w:numFmt w:val="decimal"/>
      <w:lvlText w:val=""/>
      <w:lvlJc w:val="left"/>
    </w:lvl>
    <w:lvl w:ilvl="6" w:tplc="DF2A0B1E">
      <w:numFmt w:val="decimal"/>
      <w:lvlText w:val=""/>
      <w:lvlJc w:val="left"/>
    </w:lvl>
    <w:lvl w:ilvl="7" w:tplc="D7C062D4">
      <w:numFmt w:val="decimal"/>
      <w:lvlText w:val=""/>
      <w:lvlJc w:val="left"/>
    </w:lvl>
    <w:lvl w:ilvl="8" w:tplc="CE94B7C6">
      <w:numFmt w:val="decimal"/>
      <w:lvlText w:val=""/>
      <w:lvlJc w:val="left"/>
    </w:lvl>
  </w:abstractNum>
  <w:abstractNum w:abstractNumId="6" w15:restartNumberingAfterBreak="0">
    <w:nsid w:val="000062B0"/>
    <w:multiLevelType w:val="hybridMultilevel"/>
    <w:tmpl w:val="A7E2FAFC"/>
    <w:lvl w:ilvl="0" w:tplc="51CC6760">
      <w:start w:val="8"/>
      <w:numFmt w:val="decimal"/>
      <w:lvlText w:val="%1."/>
      <w:lvlJc w:val="left"/>
    </w:lvl>
    <w:lvl w:ilvl="1" w:tplc="4A7CCCA8">
      <w:numFmt w:val="decimal"/>
      <w:lvlText w:val=""/>
      <w:lvlJc w:val="left"/>
    </w:lvl>
    <w:lvl w:ilvl="2" w:tplc="EC2A87D8">
      <w:numFmt w:val="decimal"/>
      <w:lvlText w:val=""/>
      <w:lvlJc w:val="left"/>
    </w:lvl>
    <w:lvl w:ilvl="3" w:tplc="04F69644">
      <w:numFmt w:val="decimal"/>
      <w:lvlText w:val=""/>
      <w:lvlJc w:val="left"/>
    </w:lvl>
    <w:lvl w:ilvl="4" w:tplc="49827E3C">
      <w:numFmt w:val="decimal"/>
      <w:lvlText w:val=""/>
      <w:lvlJc w:val="left"/>
    </w:lvl>
    <w:lvl w:ilvl="5" w:tplc="33DCC80C">
      <w:numFmt w:val="decimal"/>
      <w:lvlText w:val=""/>
      <w:lvlJc w:val="left"/>
    </w:lvl>
    <w:lvl w:ilvl="6" w:tplc="29169E00">
      <w:numFmt w:val="decimal"/>
      <w:lvlText w:val=""/>
      <w:lvlJc w:val="left"/>
    </w:lvl>
    <w:lvl w:ilvl="7" w:tplc="DB0CFCFC">
      <w:numFmt w:val="decimal"/>
      <w:lvlText w:val=""/>
      <w:lvlJc w:val="left"/>
    </w:lvl>
    <w:lvl w:ilvl="8" w:tplc="1D2450CE">
      <w:numFmt w:val="decimal"/>
      <w:lvlText w:val=""/>
      <w:lvlJc w:val="left"/>
    </w:lvl>
  </w:abstractNum>
  <w:abstractNum w:abstractNumId="7" w15:restartNumberingAfterBreak="0">
    <w:nsid w:val="00006F57"/>
    <w:multiLevelType w:val="hybridMultilevel"/>
    <w:tmpl w:val="8DCA0310"/>
    <w:lvl w:ilvl="0" w:tplc="F254334E">
      <w:start w:val="61"/>
      <w:numFmt w:val="decimal"/>
      <w:lvlText w:val="%1"/>
      <w:lvlJc w:val="left"/>
    </w:lvl>
    <w:lvl w:ilvl="1" w:tplc="BC5EF7F0">
      <w:numFmt w:val="decimal"/>
      <w:lvlText w:val=""/>
      <w:lvlJc w:val="left"/>
    </w:lvl>
    <w:lvl w:ilvl="2" w:tplc="469E8176">
      <w:numFmt w:val="decimal"/>
      <w:lvlText w:val=""/>
      <w:lvlJc w:val="left"/>
    </w:lvl>
    <w:lvl w:ilvl="3" w:tplc="17A44EE6">
      <w:numFmt w:val="decimal"/>
      <w:lvlText w:val=""/>
      <w:lvlJc w:val="left"/>
    </w:lvl>
    <w:lvl w:ilvl="4" w:tplc="3EFEF2AC">
      <w:numFmt w:val="decimal"/>
      <w:lvlText w:val=""/>
      <w:lvlJc w:val="left"/>
    </w:lvl>
    <w:lvl w:ilvl="5" w:tplc="7B8E610E">
      <w:numFmt w:val="decimal"/>
      <w:lvlText w:val=""/>
      <w:lvlJc w:val="left"/>
    </w:lvl>
    <w:lvl w:ilvl="6" w:tplc="DB480154">
      <w:numFmt w:val="decimal"/>
      <w:lvlText w:val=""/>
      <w:lvlJc w:val="left"/>
    </w:lvl>
    <w:lvl w:ilvl="7" w:tplc="5EF2E580">
      <w:numFmt w:val="decimal"/>
      <w:lvlText w:val=""/>
      <w:lvlJc w:val="left"/>
    </w:lvl>
    <w:lvl w:ilvl="8" w:tplc="149E5B24">
      <w:numFmt w:val="decimal"/>
      <w:lvlText w:val=""/>
      <w:lvlJc w:val="left"/>
    </w:lvl>
  </w:abstractNum>
  <w:num w:numId="1">
    <w:abstractNumId w:val="2"/>
  </w:num>
  <w:num w:numId="2">
    <w:abstractNumId w:val="3"/>
  </w:num>
  <w:num w:numId="3">
    <w:abstractNumId w:val="1"/>
  </w:num>
  <w:num w:numId="4">
    <w:abstractNumId w:val="6"/>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C9B"/>
    <w:rsid w:val="00497539"/>
    <w:rsid w:val="00A55E03"/>
    <w:rsid w:val="00EB7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DBD2A-40C0-4301-A00B-96B6FBE4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C9B"/>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prevent-duty-guidance" TargetMode="External"/><Relationship Id="rId13" Type="http://schemas.openxmlformats.org/officeDocument/2006/relationships/hyperlink" Target="http://www.spiked-online.com/newsite/article/preventing-free-thought-on-campus/18062" TargetMode="External"/><Relationship Id="rId3" Type="http://schemas.openxmlformats.org/officeDocument/2006/relationships/settings" Target="settings.xml"/><Relationship Id="rId7" Type="http://schemas.openxmlformats.org/officeDocument/2006/relationships/hyperlink" Target="https://nusdigital.s3-eu-west-1.amazonaws.com/document/documents/31475/NUS_No_Platform_Policy_information_.pdf?AWSAccessKeyId=AKIAJKEA56ZWKFU6MHNQ&amp;Expires=1517780809&amp;Signature=wiJ7rSvYlB6MKadAI8OEGiEtoiI%3D" TargetMode="External"/><Relationship Id="rId12" Type="http://schemas.openxmlformats.org/officeDocument/2006/relationships/hyperlink" Target="http://www.aljazeera.com/indepth/opinion/2017/07/criticism-prevent-based-facts-myths-17070307255845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sdigital.s3-eu-west-1.amazonaws.com/document/documents/31475/NUS_No_Platform_Policy_information_.pdf?AWSAccessKeyId=AKIAJKEA56ZWKFU6MHNQ&amp;Expires=1517780809&amp;Signature=wiJ7rSvYlB6MKadAI8OEGiEtoiI%3D" TargetMode="External"/><Relationship Id="rId11" Type="http://schemas.openxmlformats.org/officeDocument/2006/relationships/hyperlink" Target="https://www.theguardian.com/world/2017/feb/27/universities-free-speech-row-halting-pro-palestinian-events" TargetMode="External"/><Relationship Id="rId5" Type="http://schemas.openxmlformats.org/officeDocument/2006/relationships/hyperlink" Target="https://nusdigital.s3-eu-west-1.amazonaws.com/document/documents/31475/NUS_No_Platform_Policy_information_.pdf?AWSAccessKeyId=AKIAJKEA56ZWKFU6MHNQ&amp;Expires=1517780809&amp;Signature=wiJ7rSvYlB6MKadAI8OEGiEtoiI%3D" TargetMode="External"/><Relationship Id="rId15" Type="http://schemas.openxmlformats.org/officeDocument/2006/relationships/theme" Target="theme/theme1.xml"/><Relationship Id="rId10" Type="http://schemas.openxmlformats.org/officeDocument/2006/relationships/hyperlink" Target="https://www.timeshighereducation.com/opinion/if-ofs-all-about-freedom-speech-policy-must-least-be-consistent" TargetMode="External"/><Relationship Id="rId4" Type="http://schemas.openxmlformats.org/officeDocument/2006/relationships/webSettings" Target="webSettings.xml"/><Relationship Id="rId9" Type="http://schemas.openxmlformats.org/officeDocument/2006/relationships/hyperlink" Target="https://www.gov.uk/government/speeches/free-speech-in-the-liberal-univers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Tracy Priestman</dc:creator>
  <cp:keywords/>
  <dc:description/>
  <cp:lastModifiedBy>(su) Tracy Priestman</cp:lastModifiedBy>
  <cp:revision>1</cp:revision>
  <dcterms:created xsi:type="dcterms:W3CDTF">2018-04-18T09:06:00Z</dcterms:created>
  <dcterms:modified xsi:type="dcterms:W3CDTF">2018-04-18T09:08:00Z</dcterms:modified>
</cp:coreProperties>
</file>