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DC04" w14:textId="2F0DBBCF" w:rsidR="00111CCA" w:rsidRPr="00093F2E" w:rsidRDefault="00682524" w:rsidP="00757316">
      <w:pPr>
        <w:spacing w:after="0" w:line="240" w:lineRule="auto"/>
        <w:rPr>
          <w:rFonts w:cstheme="minorHAnsi"/>
          <w:noProof/>
          <w:sz w:val="36"/>
          <w:szCs w:val="36"/>
          <w:lang w:eastAsia="zh-CN"/>
        </w:rPr>
      </w:pPr>
      <w:r w:rsidRPr="00093F2E">
        <w:rPr>
          <w:rFonts w:cstheme="minorHAnsi"/>
          <w:noProof/>
          <w:sz w:val="36"/>
          <w:szCs w:val="36"/>
          <w:lang w:eastAsia="en-GB"/>
        </w:rPr>
        <mc:AlternateContent>
          <mc:Choice Requires="wps">
            <w:drawing>
              <wp:anchor distT="0" distB="0" distL="114300" distR="114300" simplePos="0" relativeHeight="251660288" behindDoc="1" locked="0" layoutInCell="1" allowOverlap="1" wp14:anchorId="4FB500EF" wp14:editId="4AA1033A">
                <wp:simplePos x="0" y="0"/>
                <wp:positionH relativeFrom="column">
                  <wp:posOffset>2047875</wp:posOffset>
                </wp:positionH>
                <wp:positionV relativeFrom="paragraph">
                  <wp:posOffset>-228600</wp:posOffset>
                </wp:positionV>
                <wp:extent cx="4495800" cy="666750"/>
                <wp:effectExtent l="0" t="0" r="0" b="0"/>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66750"/>
                        </a:xfrm>
                        <a:prstGeom prst="parallelogram">
                          <a:avLst>
                            <a:gd name="adj" fmla="val 33037"/>
                          </a:avLst>
                        </a:prstGeom>
                        <a:solidFill>
                          <a:schemeClr val="tx1">
                            <a:lumMod val="65000"/>
                            <a:lumOff val="35000"/>
                          </a:schemeClr>
                        </a:solidFill>
                        <a:ln>
                          <a:noFill/>
                        </a:ln>
                      </wps:spPr>
                      <wps:txb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0451CBE8" w14:textId="66031052" w:rsidR="00757316" w:rsidRPr="00682524" w:rsidRDefault="00B7393C" w:rsidP="00682524">
                            <w:pPr>
                              <w:jc w:val="center"/>
                              <w:rPr>
                                <w:rFonts w:ascii="Calibri" w:hAnsi="Calibri"/>
                                <w:sz w:val="20"/>
                                <w:szCs w:val="20"/>
                              </w:rPr>
                            </w:pPr>
                            <w:r>
                              <w:rPr>
                                <w:rFonts w:ascii="Calibri" w:hAnsi="Calibri"/>
                                <w:b/>
                                <w:bCs/>
                                <w:color w:val="FFFFFF"/>
                                <w:sz w:val="32"/>
                                <w:szCs w:val="32"/>
                              </w:rPr>
                              <w:t>Union Council</w:t>
                            </w:r>
                            <w:r w:rsidR="00682524">
                              <w:rPr>
                                <w:rFonts w:ascii="Calibri" w:hAnsi="Calibri"/>
                                <w:b/>
                                <w:bCs/>
                                <w:color w:val="FFFFFF"/>
                                <w:sz w:val="32"/>
                                <w:szCs w:val="32"/>
                              </w:rPr>
                              <w:t xml:space="preserve"> </w:t>
                            </w:r>
                            <w:r w:rsidR="00D250A4">
                              <w:rPr>
                                <w:rFonts w:ascii="Calibri" w:hAnsi="Calibri"/>
                                <w:b/>
                                <w:bCs/>
                                <w:color w:val="FFFFFF"/>
                                <w:sz w:val="32"/>
                                <w:szCs w:val="32"/>
                              </w:rPr>
                              <w:t xml:space="preserve">Bye-law Update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00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61.25pt;margin-top:-18pt;width:354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" adj="1058" fillcolor="#5a5a5a [2109]" stroked="f">
                <v:textbo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0451CBE8" w14:textId="66031052" w:rsidR="00757316" w:rsidRPr="00682524" w:rsidRDefault="00B7393C" w:rsidP="00682524">
                      <w:pPr>
                        <w:jc w:val="center"/>
                        <w:rPr>
                          <w:rFonts w:ascii="Calibri" w:hAnsi="Calibri"/>
                          <w:sz w:val="20"/>
                          <w:szCs w:val="20"/>
                        </w:rPr>
                      </w:pPr>
                      <w:r>
                        <w:rPr>
                          <w:rFonts w:ascii="Calibri" w:hAnsi="Calibri"/>
                          <w:b/>
                          <w:bCs/>
                          <w:color w:val="FFFFFF"/>
                          <w:sz w:val="32"/>
                          <w:szCs w:val="32"/>
                        </w:rPr>
                        <w:t>Union Council</w:t>
                      </w:r>
                      <w:r w:rsidR="00682524">
                        <w:rPr>
                          <w:rFonts w:ascii="Calibri" w:hAnsi="Calibri"/>
                          <w:b/>
                          <w:bCs/>
                          <w:color w:val="FFFFFF"/>
                          <w:sz w:val="32"/>
                          <w:szCs w:val="32"/>
                        </w:rPr>
                        <w:t xml:space="preserve"> </w:t>
                      </w:r>
                      <w:r w:rsidR="00D250A4">
                        <w:rPr>
                          <w:rFonts w:ascii="Calibri" w:hAnsi="Calibri"/>
                          <w:b/>
                          <w:bCs/>
                          <w:color w:val="FFFFFF"/>
                          <w:sz w:val="32"/>
                          <w:szCs w:val="32"/>
                        </w:rPr>
                        <w:t xml:space="preserve">Bye-law Update </w:t>
                      </w:r>
                    </w:p>
                  </w:txbxContent>
                </v:textbox>
              </v:shape>
            </w:pict>
          </mc:Fallback>
        </mc:AlternateContent>
      </w:r>
      <w:r w:rsidR="00757316" w:rsidRPr="00093F2E">
        <w:rPr>
          <w:rFonts w:cstheme="minorHAnsi"/>
          <w:noProof/>
          <w:sz w:val="36"/>
          <w:szCs w:val="36"/>
          <w:lang w:eastAsia="en-GB"/>
        </w:rPr>
        <w:drawing>
          <wp:anchor distT="0" distB="0" distL="114300" distR="114300" simplePos="0" relativeHeight="251659264" behindDoc="0" locked="0" layoutInCell="1" allowOverlap="1" wp14:anchorId="54C5130B" wp14:editId="7EFD85EC">
            <wp:simplePos x="0" y="0"/>
            <wp:positionH relativeFrom="column">
              <wp:posOffset>-297815</wp:posOffset>
            </wp:positionH>
            <wp:positionV relativeFrom="paragraph">
              <wp:posOffset>-258445</wp:posOffset>
            </wp:positionV>
            <wp:extent cx="2200275" cy="757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516F" w14:textId="77777777" w:rsidR="00757316" w:rsidRPr="00093F2E" w:rsidRDefault="00757316" w:rsidP="00757316">
      <w:pPr>
        <w:spacing w:after="0" w:line="240" w:lineRule="auto"/>
        <w:rPr>
          <w:rFonts w:cstheme="minorHAnsi"/>
          <w:noProof/>
          <w:sz w:val="36"/>
          <w:szCs w:val="36"/>
          <w:lang w:eastAsia="zh-CN"/>
        </w:rPr>
      </w:pPr>
    </w:p>
    <w:p w14:paraId="7879D2A7" w14:textId="77777777" w:rsidR="00682524" w:rsidRPr="00093F2E" w:rsidRDefault="00682524" w:rsidP="00757316">
      <w:pPr>
        <w:spacing w:after="0" w:line="240" w:lineRule="auto"/>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AA0D78" w:rsidRPr="00093F2E" w14:paraId="36846BF8" w14:textId="77777777" w:rsidTr="41B7732E">
        <w:trPr>
          <w:trHeight w:val="454"/>
        </w:trPr>
        <w:tc>
          <w:tcPr>
            <w:tcW w:w="8908" w:type="dxa"/>
            <w:gridSpan w:val="2"/>
            <w:shd w:val="clear" w:color="auto" w:fill="595959" w:themeFill="text1" w:themeFillTint="A6"/>
            <w:vAlign w:val="center"/>
          </w:tcPr>
          <w:p w14:paraId="4D43A100" w14:textId="77777777" w:rsidR="00AA0D78" w:rsidRPr="00093F2E" w:rsidRDefault="00AA0D78" w:rsidP="00757316">
            <w:pPr>
              <w:rPr>
                <w:rFonts w:cstheme="minorHAnsi"/>
                <w:b/>
                <w:sz w:val="26"/>
                <w:szCs w:val="26"/>
              </w:rPr>
            </w:pPr>
            <w:r w:rsidRPr="00093F2E">
              <w:rPr>
                <w:rFonts w:cstheme="minorHAnsi"/>
                <w:b/>
                <w:color w:val="FFFFFF" w:themeColor="background1"/>
                <w:sz w:val="26"/>
                <w:szCs w:val="26"/>
              </w:rPr>
              <w:t xml:space="preserve">Contact details </w:t>
            </w:r>
          </w:p>
        </w:tc>
      </w:tr>
      <w:tr w:rsidR="00AA0D78" w:rsidRPr="00093F2E" w14:paraId="13E03EFC" w14:textId="77777777" w:rsidTr="41B7732E">
        <w:trPr>
          <w:trHeight w:val="454"/>
        </w:trPr>
        <w:tc>
          <w:tcPr>
            <w:tcW w:w="4140" w:type="dxa"/>
            <w:shd w:val="clear" w:color="auto" w:fill="DEEAF6" w:themeFill="accent1" w:themeFillTint="33"/>
            <w:vAlign w:val="center"/>
          </w:tcPr>
          <w:p w14:paraId="112EE350" w14:textId="77777777" w:rsidR="00AA0D78" w:rsidRPr="00093F2E" w:rsidRDefault="00AA0D78" w:rsidP="00757316">
            <w:pPr>
              <w:rPr>
                <w:rFonts w:cstheme="minorHAnsi"/>
                <w:sz w:val="24"/>
                <w:szCs w:val="24"/>
              </w:rPr>
            </w:pPr>
            <w:r w:rsidRPr="00093F2E">
              <w:rPr>
                <w:rFonts w:cstheme="minorHAnsi"/>
                <w:sz w:val="24"/>
                <w:szCs w:val="24"/>
              </w:rPr>
              <w:t>Your name</w:t>
            </w:r>
            <w:r w:rsidR="00757316" w:rsidRPr="00093F2E">
              <w:rPr>
                <w:rFonts w:cstheme="minorHAnsi"/>
                <w:sz w:val="24"/>
                <w:szCs w:val="24"/>
              </w:rPr>
              <w:t xml:space="preserve"> </w:t>
            </w:r>
            <w:r w:rsidRPr="00093F2E">
              <w:rPr>
                <w:rFonts w:cstheme="minorHAnsi"/>
                <w:sz w:val="24"/>
                <w:szCs w:val="24"/>
              </w:rPr>
              <w:t>(Proposer of the policy)</w:t>
            </w:r>
          </w:p>
        </w:tc>
        <w:tc>
          <w:tcPr>
            <w:tcW w:w="4768" w:type="dxa"/>
            <w:vAlign w:val="center"/>
          </w:tcPr>
          <w:p w14:paraId="4ED31BD9" w14:textId="12D04E88" w:rsidR="00AA0D78" w:rsidRPr="00093F2E" w:rsidRDefault="00682524" w:rsidP="00757316">
            <w:pPr>
              <w:rPr>
                <w:rFonts w:cstheme="minorHAnsi"/>
                <w:sz w:val="20"/>
                <w:szCs w:val="20"/>
              </w:rPr>
            </w:pPr>
            <w:r>
              <w:rPr>
                <w:rFonts w:cstheme="minorHAnsi"/>
                <w:sz w:val="20"/>
                <w:szCs w:val="20"/>
              </w:rPr>
              <w:t>Owain Gullam</w:t>
            </w:r>
          </w:p>
        </w:tc>
      </w:tr>
      <w:tr w:rsidR="00AA0D78" w:rsidRPr="00093F2E" w14:paraId="0BDCDECD" w14:textId="77777777" w:rsidTr="41B7732E">
        <w:trPr>
          <w:trHeight w:val="454"/>
        </w:trPr>
        <w:tc>
          <w:tcPr>
            <w:tcW w:w="4140" w:type="dxa"/>
            <w:shd w:val="clear" w:color="auto" w:fill="DEEAF6" w:themeFill="accent1" w:themeFillTint="33"/>
            <w:vAlign w:val="center"/>
          </w:tcPr>
          <w:p w14:paraId="1CDCF349" w14:textId="77777777" w:rsidR="00AA0D78" w:rsidRPr="00093F2E" w:rsidRDefault="00AA0D78" w:rsidP="00757316">
            <w:pPr>
              <w:rPr>
                <w:rFonts w:cstheme="minorHAnsi"/>
                <w:sz w:val="24"/>
                <w:szCs w:val="24"/>
              </w:rPr>
            </w:pPr>
            <w:r w:rsidRPr="00093F2E">
              <w:rPr>
                <w:rFonts w:cstheme="minorHAnsi"/>
                <w:sz w:val="24"/>
                <w:szCs w:val="24"/>
              </w:rPr>
              <w:t>Your email</w:t>
            </w:r>
          </w:p>
        </w:tc>
        <w:tc>
          <w:tcPr>
            <w:tcW w:w="4768" w:type="dxa"/>
            <w:vAlign w:val="center"/>
          </w:tcPr>
          <w:p w14:paraId="636DF1A9" w14:textId="5C7EDCEE" w:rsidR="00AA0D78" w:rsidRPr="00093F2E" w:rsidRDefault="00682524" w:rsidP="00757316">
            <w:pPr>
              <w:rPr>
                <w:rFonts w:cstheme="minorHAnsi"/>
                <w:sz w:val="20"/>
                <w:szCs w:val="20"/>
              </w:rPr>
            </w:pPr>
            <w:r>
              <w:rPr>
                <w:rFonts w:cstheme="minorHAnsi"/>
                <w:sz w:val="20"/>
                <w:szCs w:val="20"/>
              </w:rPr>
              <w:t>Owain.gullam@students.plymouth.ac.uk</w:t>
            </w:r>
          </w:p>
        </w:tc>
      </w:tr>
      <w:tr w:rsidR="00AA0D78" w:rsidRPr="00093F2E" w14:paraId="1BE8A1B9" w14:textId="77777777" w:rsidTr="41B7732E">
        <w:trPr>
          <w:trHeight w:val="454"/>
        </w:trPr>
        <w:tc>
          <w:tcPr>
            <w:tcW w:w="4140" w:type="dxa"/>
            <w:shd w:val="clear" w:color="auto" w:fill="DEEAF6" w:themeFill="accent1" w:themeFillTint="33"/>
            <w:vAlign w:val="center"/>
          </w:tcPr>
          <w:p w14:paraId="335C225C" w14:textId="77777777" w:rsidR="00AA0D78" w:rsidRPr="00093F2E" w:rsidRDefault="00AA0D78" w:rsidP="00757316">
            <w:pPr>
              <w:rPr>
                <w:rFonts w:cstheme="minorHAnsi"/>
                <w:sz w:val="24"/>
                <w:szCs w:val="24"/>
              </w:rPr>
            </w:pPr>
            <w:r w:rsidRPr="00093F2E">
              <w:rPr>
                <w:rFonts w:cstheme="minorHAnsi"/>
                <w:sz w:val="24"/>
                <w:szCs w:val="24"/>
              </w:rPr>
              <w:t>The name of a person who supports the policy (Seconder</w:t>
            </w:r>
            <w:r w:rsidR="006908EF" w:rsidRPr="00093F2E">
              <w:rPr>
                <w:rFonts w:cstheme="minorHAnsi"/>
                <w:sz w:val="24"/>
                <w:szCs w:val="24"/>
              </w:rPr>
              <w:t xml:space="preserve"> of the policy</w:t>
            </w:r>
            <w:r w:rsidRPr="00093F2E">
              <w:rPr>
                <w:rFonts w:cstheme="minorHAnsi"/>
                <w:sz w:val="24"/>
                <w:szCs w:val="24"/>
              </w:rPr>
              <w:t>)</w:t>
            </w:r>
          </w:p>
        </w:tc>
        <w:tc>
          <w:tcPr>
            <w:tcW w:w="4768" w:type="dxa"/>
            <w:vAlign w:val="center"/>
          </w:tcPr>
          <w:p w14:paraId="709EECA0" w14:textId="48E1DBD9" w:rsidR="00AA0D78" w:rsidRPr="00093F2E" w:rsidRDefault="41B7732E" w:rsidP="41B7732E">
            <w:pPr>
              <w:rPr>
                <w:sz w:val="20"/>
                <w:szCs w:val="20"/>
              </w:rPr>
            </w:pPr>
            <w:r w:rsidRPr="41B7732E">
              <w:rPr>
                <w:sz w:val="20"/>
                <w:szCs w:val="20"/>
              </w:rPr>
              <w:t>William Styles</w:t>
            </w:r>
          </w:p>
        </w:tc>
      </w:tr>
      <w:tr w:rsidR="00757316" w:rsidRPr="00093F2E" w14:paraId="5C6C437B" w14:textId="77777777" w:rsidTr="41B7732E">
        <w:trPr>
          <w:trHeight w:val="454"/>
        </w:trPr>
        <w:tc>
          <w:tcPr>
            <w:tcW w:w="4140" w:type="dxa"/>
            <w:shd w:val="clear" w:color="auto" w:fill="DEEAF6" w:themeFill="accent1" w:themeFillTint="33"/>
            <w:vAlign w:val="center"/>
          </w:tcPr>
          <w:p w14:paraId="469109C1" w14:textId="77777777" w:rsidR="00757316" w:rsidRPr="00093F2E" w:rsidRDefault="00757316" w:rsidP="00757316">
            <w:pPr>
              <w:rPr>
                <w:rFonts w:cstheme="minorHAnsi"/>
                <w:sz w:val="24"/>
                <w:szCs w:val="24"/>
              </w:rPr>
            </w:pPr>
            <w:r w:rsidRPr="00093F2E">
              <w:rPr>
                <w:rFonts w:cstheme="minorHAnsi"/>
                <w:sz w:val="24"/>
                <w:szCs w:val="24"/>
              </w:rPr>
              <w:t>Seconder’s email</w:t>
            </w:r>
          </w:p>
        </w:tc>
        <w:tc>
          <w:tcPr>
            <w:tcW w:w="4768" w:type="dxa"/>
            <w:vAlign w:val="center"/>
          </w:tcPr>
          <w:p w14:paraId="452FF8E5" w14:textId="77777777" w:rsidR="00757316" w:rsidRPr="00093F2E" w:rsidRDefault="00757316" w:rsidP="00757316">
            <w:pPr>
              <w:rPr>
                <w:rFonts w:cstheme="minorHAnsi"/>
                <w:sz w:val="20"/>
                <w:szCs w:val="20"/>
              </w:rPr>
            </w:pPr>
          </w:p>
        </w:tc>
      </w:tr>
    </w:tbl>
    <w:p w14:paraId="40659ACD" w14:textId="77777777" w:rsidR="00757316" w:rsidRPr="00093F2E" w:rsidRDefault="00757316" w:rsidP="00757316">
      <w:pPr>
        <w:spacing w:after="0" w:line="240" w:lineRule="auto"/>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57316" w:rsidRPr="00093F2E" w14:paraId="6C0AABF8" w14:textId="77777777" w:rsidTr="00731E7F">
        <w:trPr>
          <w:trHeight w:val="454"/>
        </w:trPr>
        <w:tc>
          <w:tcPr>
            <w:tcW w:w="8908" w:type="dxa"/>
            <w:gridSpan w:val="2"/>
            <w:shd w:val="clear" w:color="auto" w:fill="595959" w:themeFill="text1" w:themeFillTint="A6"/>
            <w:vAlign w:val="center"/>
          </w:tcPr>
          <w:p w14:paraId="14F09181" w14:textId="77777777" w:rsidR="00757316" w:rsidRPr="00093F2E" w:rsidRDefault="00757316" w:rsidP="00731E7F">
            <w:pPr>
              <w:rPr>
                <w:rFonts w:cstheme="minorHAnsi"/>
                <w:b/>
                <w:sz w:val="26"/>
                <w:szCs w:val="26"/>
              </w:rPr>
            </w:pPr>
            <w:r w:rsidRPr="00093F2E">
              <w:rPr>
                <w:rFonts w:cstheme="minorHAnsi"/>
                <w:b/>
                <w:color w:val="FFFFFF" w:themeColor="background1"/>
                <w:sz w:val="26"/>
                <w:szCs w:val="26"/>
              </w:rPr>
              <w:t xml:space="preserve">Student Impact </w:t>
            </w:r>
          </w:p>
        </w:tc>
      </w:tr>
      <w:tr w:rsidR="00757316" w:rsidRPr="00093F2E" w14:paraId="3E8374E6" w14:textId="77777777" w:rsidTr="00757316">
        <w:trPr>
          <w:trHeight w:val="1588"/>
        </w:trPr>
        <w:tc>
          <w:tcPr>
            <w:tcW w:w="4140" w:type="dxa"/>
            <w:shd w:val="clear" w:color="auto" w:fill="DEEAF6" w:themeFill="accent1" w:themeFillTint="33"/>
            <w:vAlign w:val="center"/>
          </w:tcPr>
          <w:p w14:paraId="70744C71" w14:textId="77777777" w:rsidR="00757316" w:rsidRPr="00093F2E" w:rsidRDefault="00757316" w:rsidP="00731E7F">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38A574ED" w14:textId="74CFC875" w:rsidR="00757316" w:rsidRPr="00093F2E" w:rsidRDefault="00682524" w:rsidP="00731E7F">
            <w:pPr>
              <w:rPr>
                <w:rFonts w:cstheme="minorHAnsi"/>
                <w:sz w:val="20"/>
                <w:szCs w:val="20"/>
              </w:rPr>
            </w:pPr>
            <w:r>
              <w:rPr>
                <w:rFonts w:cstheme="minorHAnsi"/>
                <w:sz w:val="20"/>
                <w:szCs w:val="20"/>
              </w:rPr>
              <w:t xml:space="preserve">Students attempted to engage with UPSU in the ASM, and vote for our candidates annually on two major occasions. Otherwise, there are often limits to the amount of engagement representatives get. </w:t>
            </w:r>
          </w:p>
        </w:tc>
      </w:tr>
      <w:tr w:rsidR="00757316" w:rsidRPr="00093F2E" w14:paraId="6733C201" w14:textId="77777777" w:rsidTr="00757316">
        <w:trPr>
          <w:trHeight w:val="1588"/>
        </w:trPr>
        <w:tc>
          <w:tcPr>
            <w:tcW w:w="4140" w:type="dxa"/>
            <w:shd w:val="clear" w:color="auto" w:fill="DEEAF6" w:themeFill="accent1" w:themeFillTint="33"/>
            <w:vAlign w:val="center"/>
          </w:tcPr>
          <w:p w14:paraId="54287C5C" w14:textId="77777777" w:rsidR="00757316" w:rsidRPr="00093F2E" w:rsidRDefault="00757316" w:rsidP="00731E7F">
            <w:pPr>
              <w:rPr>
                <w:rFonts w:cstheme="minorHAnsi"/>
                <w:sz w:val="24"/>
                <w:szCs w:val="24"/>
              </w:rPr>
            </w:pPr>
            <w:r w:rsidRPr="00093F2E">
              <w:rPr>
                <w:rFonts w:cstheme="minorHAnsi"/>
                <w:sz w:val="24"/>
                <w:szCs w:val="24"/>
              </w:rPr>
              <w:t>How does your proposal impact the students at the University of Plymouth, what difference will it make to students?</w:t>
            </w:r>
          </w:p>
        </w:tc>
        <w:tc>
          <w:tcPr>
            <w:tcW w:w="4768" w:type="dxa"/>
            <w:vAlign w:val="center"/>
          </w:tcPr>
          <w:p w14:paraId="3037C956" w14:textId="6C6AA4BB" w:rsidR="00757316" w:rsidRPr="00093F2E" w:rsidRDefault="00DF7007" w:rsidP="00731E7F">
            <w:pPr>
              <w:rPr>
                <w:rFonts w:cstheme="minorHAnsi"/>
                <w:sz w:val="20"/>
                <w:szCs w:val="20"/>
              </w:rPr>
            </w:pPr>
            <w:r>
              <w:rPr>
                <w:rFonts w:cstheme="minorHAnsi"/>
                <w:sz w:val="20"/>
                <w:szCs w:val="20"/>
              </w:rPr>
              <w:t xml:space="preserve">Changes made to the bye-law will make the democratic processes of UPSU more </w:t>
            </w:r>
            <w:proofErr w:type="gramStart"/>
            <w:r>
              <w:rPr>
                <w:rFonts w:cstheme="minorHAnsi"/>
                <w:sz w:val="20"/>
                <w:szCs w:val="20"/>
              </w:rPr>
              <w:t>accessible, and</w:t>
            </w:r>
            <w:proofErr w:type="gramEnd"/>
            <w:r>
              <w:rPr>
                <w:rFonts w:cstheme="minorHAnsi"/>
                <w:sz w:val="20"/>
                <w:szCs w:val="20"/>
              </w:rPr>
              <w:t xml:space="preserve"> streamline immediate change at meetings that operate more frequently. </w:t>
            </w:r>
          </w:p>
        </w:tc>
      </w:tr>
    </w:tbl>
    <w:p w14:paraId="47A6916E" w14:textId="77777777" w:rsidR="00757316" w:rsidRPr="00093F2E" w:rsidRDefault="00757316" w:rsidP="00757316">
      <w:pPr>
        <w:spacing w:after="0" w:line="240" w:lineRule="auto"/>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39D31DCF" w14:textId="77777777" w:rsidTr="00731E7F">
        <w:trPr>
          <w:trHeight w:val="454"/>
        </w:trPr>
        <w:tc>
          <w:tcPr>
            <w:tcW w:w="8908" w:type="dxa"/>
            <w:shd w:val="clear" w:color="auto" w:fill="595959" w:themeFill="text1" w:themeFillTint="A6"/>
            <w:vAlign w:val="center"/>
          </w:tcPr>
          <w:p w14:paraId="5C260678" w14:textId="77777777" w:rsidR="00757316" w:rsidRPr="00093F2E" w:rsidRDefault="00757316" w:rsidP="00731E7F">
            <w:pPr>
              <w:rPr>
                <w:rFonts w:cstheme="minorHAnsi"/>
                <w:sz w:val="26"/>
                <w:szCs w:val="26"/>
              </w:rPr>
            </w:pPr>
            <w:r w:rsidRPr="00093F2E">
              <w:rPr>
                <w:rFonts w:cstheme="minorHAnsi"/>
                <w:b/>
                <w:color w:val="FFFFFF" w:themeColor="background1"/>
                <w:sz w:val="26"/>
                <w:szCs w:val="26"/>
              </w:rPr>
              <w:t xml:space="preserve">Policy Proposal </w:t>
            </w:r>
          </w:p>
        </w:tc>
      </w:tr>
      <w:tr w:rsidR="00757316" w:rsidRPr="00093F2E" w14:paraId="61ADCB8A" w14:textId="77777777" w:rsidTr="00731E7F">
        <w:trPr>
          <w:trHeight w:val="454"/>
        </w:trPr>
        <w:tc>
          <w:tcPr>
            <w:tcW w:w="8908" w:type="dxa"/>
            <w:shd w:val="clear" w:color="auto" w:fill="DEEAF6" w:themeFill="accent1" w:themeFillTint="33"/>
            <w:vAlign w:val="center"/>
          </w:tcPr>
          <w:p w14:paraId="732B5D78"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Notes </w:t>
            </w:r>
            <w:r w:rsidRPr="00093F2E">
              <w:rPr>
                <w:rFonts w:asciiTheme="minorHAnsi" w:hAnsiTheme="minorHAnsi" w:cstheme="minorHAnsi"/>
                <w:sz w:val="24"/>
                <w:szCs w:val="24"/>
              </w:rPr>
              <w:t>(Facts) This section should include facts, not reflection or opinions. Please provide references where possible.</w:t>
            </w:r>
          </w:p>
        </w:tc>
      </w:tr>
      <w:tr w:rsidR="00757316" w:rsidRPr="00093F2E" w14:paraId="3A375505" w14:textId="77777777" w:rsidTr="00731E7F">
        <w:trPr>
          <w:trHeight w:val="454"/>
        </w:trPr>
        <w:tc>
          <w:tcPr>
            <w:tcW w:w="8908" w:type="dxa"/>
            <w:shd w:val="clear" w:color="auto" w:fill="FFFFFF" w:themeFill="background1"/>
            <w:vAlign w:val="center"/>
          </w:tcPr>
          <w:p w14:paraId="5BE45980" w14:textId="77777777" w:rsidR="00DF7007" w:rsidRPr="00D250A4" w:rsidRDefault="00DF7007" w:rsidP="00DF7007">
            <w:pPr>
              <w:pStyle w:val="ListParagraph"/>
              <w:numPr>
                <w:ilvl w:val="0"/>
                <w:numId w:val="7"/>
              </w:numPr>
              <w:spacing w:after="0" w:line="240" w:lineRule="auto"/>
              <w:rPr>
                <w:rFonts w:cstheme="minorHAnsi"/>
                <w:b/>
                <w:sz w:val="28"/>
                <w:szCs w:val="28"/>
              </w:rPr>
            </w:pPr>
            <w:r w:rsidRPr="00DF7007">
              <w:rPr>
                <w:rFonts w:cstheme="minorHAnsi"/>
                <w:bCs/>
                <w:sz w:val="24"/>
                <w:szCs w:val="24"/>
              </w:rPr>
              <w:t xml:space="preserve">That Union Council operates within the bye-law in which guidance and rules are stipulated. </w:t>
            </w:r>
          </w:p>
          <w:p w14:paraId="75041F72" w14:textId="1E05B458" w:rsidR="00D250A4" w:rsidRPr="00DF7007" w:rsidRDefault="00D250A4" w:rsidP="00D250A4">
            <w:pPr>
              <w:pStyle w:val="ListParagraph"/>
              <w:spacing w:after="0" w:line="240" w:lineRule="auto"/>
              <w:rPr>
                <w:rFonts w:cstheme="minorHAnsi"/>
                <w:b/>
                <w:sz w:val="28"/>
                <w:szCs w:val="28"/>
              </w:rPr>
            </w:pPr>
          </w:p>
        </w:tc>
      </w:tr>
      <w:tr w:rsidR="00757316" w:rsidRPr="00093F2E" w14:paraId="6E66CC0B" w14:textId="77777777" w:rsidTr="00731E7F">
        <w:trPr>
          <w:trHeight w:val="454"/>
        </w:trPr>
        <w:tc>
          <w:tcPr>
            <w:tcW w:w="8908" w:type="dxa"/>
            <w:shd w:val="clear" w:color="auto" w:fill="DEEAF6" w:themeFill="accent1" w:themeFillTint="33"/>
            <w:vAlign w:val="center"/>
          </w:tcPr>
          <w:p w14:paraId="77C57D5A"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The Union Believes</w:t>
            </w:r>
            <w:r w:rsidRPr="00093F2E">
              <w:rPr>
                <w:rFonts w:asciiTheme="minorHAnsi" w:hAnsiTheme="minorHAnsi" w:cstheme="minorHAnsi"/>
                <w:sz w:val="24"/>
                <w:szCs w:val="24"/>
              </w:rPr>
              <w:t xml:space="preserve"> (Opinions/Beliefs) This section requires reflection on the facts stated in ‘The Union Notes’</w:t>
            </w:r>
          </w:p>
        </w:tc>
      </w:tr>
      <w:tr w:rsidR="00DF7007" w:rsidRPr="00093F2E" w14:paraId="1CA57065" w14:textId="77777777" w:rsidTr="00731E7F">
        <w:trPr>
          <w:trHeight w:val="454"/>
        </w:trPr>
        <w:tc>
          <w:tcPr>
            <w:tcW w:w="8908" w:type="dxa"/>
            <w:shd w:val="clear" w:color="auto" w:fill="FFFFFF" w:themeFill="background1"/>
            <w:vAlign w:val="center"/>
          </w:tcPr>
          <w:p w14:paraId="5D277F08" w14:textId="77777777" w:rsidR="00DF7007" w:rsidRDefault="00DF7007" w:rsidP="00DF7007">
            <w:pPr>
              <w:pStyle w:val="ListParagraph"/>
              <w:numPr>
                <w:ilvl w:val="0"/>
                <w:numId w:val="8"/>
              </w:numPr>
              <w:spacing w:after="0" w:line="240" w:lineRule="auto"/>
              <w:rPr>
                <w:rFonts w:cstheme="minorHAnsi"/>
                <w:bCs/>
                <w:sz w:val="24"/>
                <w:szCs w:val="24"/>
              </w:rPr>
            </w:pPr>
            <w:r w:rsidRPr="00DF7007">
              <w:rPr>
                <w:rFonts w:cstheme="minorHAnsi"/>
                <w:bCs/>
                <w:sz w:val="24"/>
                <w:szCs w:val="24"/>
              </w:rPr>
              <w:t xml:space="preserve">That the spirit of the bye-law can be adhered to without the overabundant detail given in it. </w:t>
            </w:r>
          </w:p>
          <w:p w14:paraId="593335D7" w14:textId="624A72EB" w:rsidR="00D250A4" w:rsidRPr="00DF7007" w:rsidRDefault="00D250A4" w:rsidP="00D250A4">
            <w:pPr>
              <w:pStyle w:val="ListParagraph"/>
              <w:spacing w:after="0" w:line="240" w:lineRule="auto"/>
              <w:rPr>
                <w:rFonts w:cstheme="minorHAnsi"/>
                <w:bCs/>
                <w:sz w:val="24"/>
                <w:szCs w:val="24"/>
              </w:rPr>
            </w:pPr>
          </w:p>
        </w:tc>
      </w:tr>
      <w:tr w:rsidR="00DF7007" w:rsidRPr="00093F2E" w14:paraId="4885E5E9" w14:textId="77777777" w:rsidTr="00731E7F">
        <w:trPr>
          <w:trHeight w:val="454"/>
        </w:trPr>
        <w:tc>
          <w:tcPr>
            <w:tcW w:w="8908" w:type="dxa"/>
            <w:shd w:val="clear" w:color="auto" w:fill="DEEAF6" w:themeFill="accent1" w:themeFillTint="33"/>
            <w:vAlign w:val="center"/>
          </w:tcPr>
          <w:p w14:paraId="11D58CC4" w14:textId="77777777" w:rsidR="00DF7007" w:rsidRPr="00093F2E" w:rsidRDefault="00DF7007" w:rsidP="00DF7007">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Resolves </w:t>
            </w:r>
            <w:r w:rsidRPr="00093F2E">
              <w:rPr>
                <w:rFonts w:asciiTheme="minorHAnsi" w:hAnsiTheme="minorHAnsi" w:cstheme="minorHAnsi"/>
                <w:sz w:val="24"/>
                <w:szCs w:val="24"/>
              </w:rPr>
              <w:t>(Actions) Here you will describe the action you want to be taken, be specific.</w:t>
            </w:r>
          </w:p>
        </w:tc>
      </w:tr>
      <w:tr w:rsidR="00DF7007" w:rsidRPr="00093F2E" w14:paraId="75B1A994" w14:textId="77777777" w:rsidTr="00731E7F">
        <w:trPr>
          <w:trHeight w:val="454"/>
        </w:trPr>
        <w:tc>
          <w:tcPr>
            <w:tcW w:w="8908" w:type="dxa"/>
            <w:shd w:val="clear" w:color="auto" w:fill="FFFFFF" w:themeFill="background1"/>
            <w:vAlign w:val="center"/>
          </w:tcPr>
          <w:p w14:paraId="131C40B3" w14:textId="77777777" w:rsidR="00B7393C" w:rsidRDefault="00A8722A" w:rsidP="00B7393C">
            <w:pPr>
              <w:pStyle w:val="ListParagraph"/>
              <w:numPr>
                <w:ilvl w:val="0"/>
                <w:numId w:val="9"/>
              </w:numPr>
              <w:spacing w:after="0" w:line="240" w:lineRule="auto"/>
              <w:rPr>
                <w:rFonts w:cstheme="minorHAnsi"/>
                <w:bCs/>
                <w:sz w:val="24"/>
                <w:szCs w:val="24"/>
              </w:rPr>
            </w:pPr>
            <w:r>
              <w:rPr>
                <w:rFonts w:cstheme="minorHAnsi"/>
                <w:bCs/>
                <w:sz w:val="24"/>
                <w:szCs w:val="24"/>
              </w:rPr>
              <w:t xml:space="preserve">Changes to the Union Council Bye-Law to be amended as outlined. </w:t>
            </w:r>
          </w:p>
          <w:p w14:paraId="086A6BAE" w14:textId="4F4131B1" w:rsidR="00D250A4" w:rsidRPr="00B7393C" w:rsidRDefault="00D250A4" w:rsidP="00B607F0">
            <w:pPr>
              <w:pStyle w:val="ListParagraph"/>
              <w:spacing w:after="0" w:line="240" w:lineRule="auto"/>
              <w:rPr>
                <w:rFonts w:cstheme="minorHAnsi"/>
                <w:bCs/>
                <w:sz w:val="24"/>
                <w:szCs w:val="24"/>
              </w:rPr>
            </w:pPr>
          </w:p>
        </w:tc>
      </w:tr>
      <w:tr w:rsidR="00DF7007" w:rsidRPr="00093F2E" w14:paraId="5A401686" w14:textId="77777777" w:rsidTr="00731E7F">
        <w:trPr>
          <w:trHeight w:val="454"/>
        </w:trPr>
        <w:tc>
          <w:tcPr>
            <w:tcW w:w="8908" w:type="dxa"/>
            <w:shd w:val="clear" w:color="auto" w:fill="DEEAF6" w:themeFill="accent1" w:themeFillTint="33"/>
            <w:vAlign w:val="center"/>
          </w:tcPr>
          <w:p w14:paraId="3BC39BE3" w14:textId="77777777" w:rsidR="00DF7007" w:rsidRPr="00093F2E" w:rsidRDefault="00DF7007" w:rsidP="00DF7007">
            <w:pPr>
              <w:pStyle w:val="NoSpacing"/>
              <w:rPr>
                <w:rFonts w:asciiTheme="minorHAnsi" w:hAnsiTheme="minorHAnsi" w:cstheme="minorHAnsi"/>
                <w:sz w:val="24"/>
                <w:szCs w:val="24"/>
              </w:rPr>
            </w:pPr>
            <w:r w:rsidRPr="00093F2E">
              <w:rPr>
                <w:rFonts w:asciiTheme="minorHAnsi" w:hAnsiTheme="minorHAnsi" w:cstheme="minorHAnsi"/>
                <w:b/>
                <w:sz w:val="24"/>
                <w:szCs w:val="24"/>
              </w:rPr>
              <w:t xml:space="preserve">Appendices/supporting information </w:t>
            </w:r>
            <w:r w:rsidRPr="00093F2E">
              <w:rPr>
                <w:rFonts w:asciiTheme="minorHAnsi" w:hAnsiTheme="minorHAnsi"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DF7007" w:rsidRPr="00093F2E" w14:paraId="1031F33D" w14:textId="77777777" w:rsidTr="00731E7F">
        <w:trPr>
          <w:trHeight w:val="454"/>
        </w:trPr>
        <w:tc>
          <w:tcPr>
            <w:tcW w:w="8908" w:type="dxa"/>
            <w:shd w:val="clear" w:color="auto" w:fill="FFFFFF" w:themeFill="background1"/>
            <w:vAlign w:val="center"/>
          </w:tcPr>
          <w:p w14:paraId="1A6E2FF1" w14:textId="315AB32C" w:rsidR="0009578E" w:rsidRPr="0009578E" w:rsidRDefault="0009578E" w:rsidP="00DF7007">
            <w:pPr>
              <w:rPr>
                <w:rFonts w:cstheme="minorHAnsi"/>
                <w:bCs/>
                <w:sz w:val="24"/>
                <w:szCs w:val="24"/>
              </w:rPr>
            </w:pPr>
            <w:r>
              <w:rPr>
                <w:rFonts w:cstheme="minorHAnsi"/>
                <w:bCs/>
                <w:sz w:val="24"/>
                <w:szCs w:val="24"/>
              </w:rPr>
              <w:t xml:space="preserve">Revised Union Council Bye-Law changes. </w:t>
            </w:r>
          </w:p>
        </w:tc>
      </w:tr>
    </w:tbl>
    <w:p w14:paraId="6697487F" w14:textId="1E1C3D34" w:rsidR="00E070ED" w:rsidRDefault="00E070ED" w:rsidP="00757316">
      <w:pPr>
        <w:spacing w:after="0" w:line="240" w:lineRule="auto"/>
        <w:rPr>
          <w:rFonts w:cstheme="minorHAnsi"/>
          <w:b/>
        </w:rPr>
      </w:pPr>
    </w:p>
    <w:p w14:paraId="3C64A844" w14:textId="7C981144" w:rsidR="00E134BA" w:rsidRDefault="00E134BA" w:rsidP="00757316">
      <w:pPr>
        <w:spacing w:after="0" w:line="240" w:lineRule="auto"/>
        <w:rPr>
          <w:rFonts w:cstheme="minorHAnsi"/>
          <w:b/>
        </w:rPr>
      </w:pPr>
    </w:p>
    <w:p w14:paraId="70DB525D" w14:textId="25AF835A" w:rsidR="00E134BA" w:rsidRDefault="00E134BA" w:rsidP="00757316">
      <w:pPr>
        <w:spacing w:after="0" w:line="240" w:lineRule="auto"/>
        <w:rPr>
          <w:rFonts w:cstheme="minorHAnsi"/>
          <w:b/>
        </w:rPr>
      </w:pPr>
      <w:r>
        <w:rPr>
          <w:rFonts w:cstheme="minorHAnsi"/>
          <w:b/>
        </w:rPr>
        <w:t xml:space="preserve">Excerpt </w:t>
      </w:r>
      <w:r w:rsidR="00145281">
        <w:rPr>
          <w:rFonts w:cstheme="minorHAnsi"/>
          <w:b/>
        </w:rPr>
        <w:t xml:space="preserve">from </w:t>
      </w:r>
      <w:r w:rsidR="008C0E19">
        <w:rPr>
          <w:rFonts w:cstheme="minorHAnsi"/>
          <w:b/>
        </w:rPr>
        <w:t xml:space="preserve">Minutes of </w:t>
      </w:r>
      <w:r w:rsidR="007F3E64">
        <w:rPr>
          <w:rFonts w:cstheme="minorHAnsi"/>
          <w:b/>
        </w:rPr>
        <w:t>31</w:t>
      </w:r>
      <w:r w:rsidR="007F3E64" w:rsidRPr="007F3E64">
        <w:rPr>
          <w:rFonts w:cstheme="minorHAnsi"/>
          <w:b/>
          <w:vertAlign w:val="superscript"/>
        </w:rPr>
        <w:t>st</w:t>
      </w:r>
      <w:r w:rsidR="007F3E64">
        <w:rPr>
          <w:rFonts w:cstheme="minorHAnsi"/>
          <w:b/>
        </w:rPr>
        <w:t xml:space="preserve"> March </w:t>
      </w:r>
      <w:r w:rsidR="00384225">
        <w:rPr>
          <w:rFonts w:cstheme="minorHAnsi"/>
          <w:b/>
        </w:rPr>
        <w:t>2022</w:t>
      </w:r>
      <w:bookmarkStart w:id="0" w:name="_GoBack"/>
      <w:bookmarkEnd w:id="0"/>
    </w:p>
    <w:p w14:paraId="2824BCD1" w14:textId="77777777" w:rsidR="00E134BA" w:rsidRDefault="00E134BA" w:rsidP="00757316">
      <w:pPr>
        <w:spacing w:after="0" w:line="240" w:lineRule="auto"/>
        <w:rPr>
          <w:rFonts w:cstheme="minorHAnsi"/>
          <w:b/>
        </w:rPr>
      </w:pPr>
    </w:p>
    <w:tbl>
      <w:tblPr>
        <w:tblStyle w:val="TableGrid1"/>
        <w:tblW w:w="9624" w:type="dxa"/>
        <w:tblInd w:w="-431" w:type="dxa"/>
        <w:tblLook w:val="04A0" w:firstRow="1" w:lastRow="0" w:firstColumn="1" w:lastColumn="0" w:noHBand="0" w:noVBand="1"/>
      </w:tblPr>
      <w:tblGrid>
        <w:gridCol w:w="9624"/>
      </w:tblGrid>
      <w:tr w:rsidR="00E134BA" w14:paraId="42BFE4CC" w14:textId="77777777" w:rsidTr="00DA231A">
        <w:trPr>
          <w:trHeight w:val="378"/>
        </w:trPr>
        <w:tc>
          <w:tcPr>
            <w:tcW w:w="8064" w:type="dxa"/>
            <w:shd w:val="clear" w:color="auto" w:fill="9CC2E5" w:themeFill="accent1" w:themeFillTint="99"/>
          </w:tcPr>
          <w:p w14:paraId="0E2529C3" w14:textId="77777777" w:rsidR="00E134BA" w:rsidRDefault="00E134BA" w:rsidP="00DA231A">
            <w:pPr>
              <w:rPr>
                <w:rFonts w:eastAsia="Arial Unicode MS" w:cstheme="minorHAnsi"/>
                <w:bCs/>
                <w:sz w:val="24"/>
                <w:szCs w:val="24"/>
              </w:rPr>
            </w:pPr>
            <w:r>
              <w:rPr>
                <w:rFonts w:eastAsia="Arial Unicode MS" w:cstheme="minorHAnsi"/>
                <w:bCs/>
                <w:sz w:val="24"/>
                <w:szCs w:val="24"/>
              </w:rPr>
              <w:t xml:space="preserve">Union Council Bye-law update Proposal </w:t>
            </w:r>
          </w:p>
        </w:tc>
      </w:tr>
      <w:tr w:rsidR="00E134BA" w14:paraId="7D2F6400" w14:textId="77777777" w:rsidTr="00DA231A">
        <w:trPr>
          <w:trHeight w:val="878"/>
        </w:trPr>
        <w:tc>
          <w:tcPr>
            <w:tcW w:w="8064" w:type="dxa"/>
          </w:tcPr>
          <w:p w14:paraId="56B94079" w14:textId="77777777" w:rsidR="00E134BA" w:rsidRPr="00C5624B" w:rsidRDefault="00E134BA" w:rsidP="00DA231A">
            <w:pPr>
              <w:spacing w:after="160" w:line="259" w:lineRule="auto"/>
              <w:rPr>
                <w:rFonts w:eastAsia="Calibri"/>
                <w:lang w:eastAsia="en-US"/>
              </w:rPr>
            </w:pPr>
            <w:r w:rsidRPr="00C5624B">
              <w:rPr>
                <w:rFonts w:eastAsia="Calibri"/>
                <w:lang w:eastAsia="en-US"/>
              </w:rPr>
              <w:t xml:space="preserve">Owain Gullam – PT Societies Officer gave on overview of the proposal and noted that a tracked changes document outlining all the suggested amendments to the current bye-law was shared with the papers </w:t>
            </w:r>
          </w:p>
          <w:p w14:paraId="1BEB3E0C" w14:textId="77777777" w:rsidR="00E134BA" w:rsidRPr="00C5624B" w:rsidRDefault="00E134BA" w:rsidP="00DA231A">
            <w:pPr>
              <w:spacing w:after="160" w:line="259" w:lineRule="auto"/>
              <w:rPr>
                <w:rFonts w:eastAsia="Calibri"/>
                <w:lang w:eastAsia="en-US"/>
              </w:rPr>
            </w:pPr>
            <w:r w:rsidRPr="00C5624B">
              <w:rPr>
                <w:rFonts w:eastAsia="Calibri"/>
                <w:lang w:eastAsia="en-US"/>
              </w:rPr>
              <w:t xml:space="preserve">The Chair asked for a seconder, Will Styles, Part-time Welfare </w:t>
            </w:r>
            <w:proofErr w:type="gramStart"/>
            <w:r w:rsidRPr="00C5624B">
              <w:rPr>
                <w:rFonts w:eastAsia="Calibri"/>
                <w:lang w:eastAsia="en-US"/>
              </w:rPr>
              <w:t>Officer  agreed</w:t>
            </w:r>
            <w:proofErr w:type="gramEnd"/>
            <w:r w:rsidRPr="00C5624B">
              <w:rPr>
                <w:rFonts w:eastAsia="Calibri"/>
                <w:lang w:eastAsia="en-US"/>
              </w:rPr>
              <w:t xml:space="preserve"> to second the proposal </w:t>
            </w:r>
          </w:p>
          <w:p w14:paraId="2AB80EE7" w14:textId="77777777" w:rsidR="00E134BA" w:rsidRPr="00C5624B" w:rsidRDefault="00E134BA" w:rsidP="00DA231A">
            <w:pPr>
              <w:spacing w:line="259" w:lineRule="auto"/>
              <w:rPr>
                <w:rFonts w:eastAsia="Calibri"/>
                <w:lang w:eastAsia="en-US"/>
              </w:rPr>
            </w:pPr>
            <w:r w:rsidRPr="00C5624B">
              <w:rPr>
                <w:rFonts w:eastAsia="Calibri"/>
                <w:lang w:eastAsia="en-US"/>
              </w:rPr>
              <w:t>For: 9</w:t>
            </w:r>
          </w:p>
          <w:p w14:paraId="722084C3" w14:textId="77777777" w:rsidR="00E134BA" w:rsidRPr="00C5624B" w:rsidRDefault="00E134BA" w:rsidP="00DA231A">
            <w:pPr>
              <w:spacing w:line="259" w:lineRule="auto"/>
              <w:rPr>
                <w:rFonts w:eastAsia="Calibri"/>
                <w:lang w:eastAsia="en-US"/>
              </w:rPr>
            </w:pPr>
            <w:r w:rsidRPr="00C5624B">
              <w:rPr>
                <w:rFonts w:eastAsia="Calibri"/>
                <w:lang w:eastAsia="en-US"/>
              </w:rPr>
              <w:t>Against: 0</w:t>
            </w:r>
          </w:p>
          <w:p w14:paraId="64922CAA" w14:textId="77777777" w:rsidR="00E134BA" w:rsidRDefault="00E134BA" w:rsidP="00DA231A">
            <w:pPr>
              <w:spacing w:line="259" w:lineRule="auto"/>
              <w:rPr>
                <w:rFonts w:eastAsia="Calibri"/>
                <w:lang w:eastAsia="en-US"/>
              </w:rPr>
            </w:pPr>
            <w:r w:rsidRPr="00C5624B">
              <w:rPr>
                <w:rFonts w:eastAsia="Calibri"/>
                <w:lang w:eastAsia="en-US"/>
              </w:rPr>
              <w:t>Abstentions:0</w:t>
            </w:r>
          </w:p>
          <w:p w14:paraId="56C87177" w14:textId="77777777" w:rsidR="00E134BA" w:rsidRDefault="00E134BA" w:rsidP="00DA231A">
            <w:pPr>
              <w:spacing w:line="259" w:lineRule="auto"/>
              <w:rPr>
                <w:rFonts w:eastAsia="Calibri"/>
                <w:lang w:eastAsia="en-US"/>
              </w:rPr>
            </w:pPr>
          </w:p>
          <w:p w14:paraId="62B5B7CC" w14:textId="77777777" w:rsidR="00E134BA" w:rsidRDefault="00E134BA" w:rsidP="00DA231A">
            <w:pPr>
              <w:spacing w:line="259" w:lineRule="auto"/>
              <w:rPr>
                <w:rFonts w:eastAsia="Calibri"/>
                <w:lang w:eastAsia="en-US"/>
              </w:rPr>
            </w:pPr>
            <w:r>
              <w:rPr>
                <w:rFonts w:eastAsia="Calibri"/>
                <w:lang w:eastAsia="en-US"/>
              </w:rPr>
              <w:t>Final voting numbers, including mail votes</w:t>
            </w:r>
          </w:p>
          <w:p w14:paraId="7058F794" w14:textId="77777777" w:rsidR="00E134BA" w:rsidRDefault="00E134BA" w:rsidP="00DA231A">
            <w:pPr>
              <w:spacing w:line="259" w:lineRule="auto"/>
              <w:rPr>
                <w:rFonts w:eastAsia="Calibri"/>
                <w:lang w:eastAsia="en-US"/>
              </w:rPr>
            </w:pPr>
            <w:r>
              <w:rPr>
                <w:rFonts w:eastAsia="Calibri"/>
                <w:lang w:eastAsia="en-US"/>
              </w:rPr>
              <w:t>For: 16</w:t>
            </w:r>
          </w:p>
          <w:p w14:paraId="201EED3E" w14:textId="77777777" w:rsidR="00E134BA" w:rsidRDefault="00E134BA" w:rsidP="00DA231A">
            <w:pPr>
              <w:spacing w:line="259" w:lineRule="auto"/>
              <w:rPr>
                <w:rFonts w:eastAsia="Calibri"/>
                <w:lang w:eastAsia="en-US"/>
              </w:rPr>
            </w:pPr>
            <w:r>
              <w:rPr>
                <w:rFonts w:eastAsia="Calibri"/>
                <w:lang w:eastAsia="en-US"/>
              </w:rPr>
              <w:t xml:space="preserve">Against: 0 </w:t>
            </w:r>
          </w:p>
          <w:p w14:paraId="5D801C64" w14:textId="77777777" w:rsidR="00E134BA" w:rsidRPr="00C5624B" w:rsidRDefault="00E134BA" w:rsidP="00DA231A">
            <w:pPr>
              <w:spacing w:line="259" w:lineRule="auto"/>
              <w:rPr>
                <w:rFonts w:eastAsia="Calibri"/>
                <w:lang w:eastAsia="en-US"/>
              </w:rPr>
            </w:pPr>
            <w:r>
              <w:rPr>
                <w:rFonts w:eastAsia="Calibri"/>
                <w:lang w:eastAsia="en-US"/>
              </w:rPr>
              <w:t>Abstentions: 2</w:t>
            </w:r>
          </w:p>
          <w:p w14:paraId="16CE235D" w14:textId="77777777" w:rsidR="00E134BA" w:rsidRDefault="00E134BA" w:rsidP="00DA231A">
            <w:pPr>
              <w:rPr>
                <w:rFonts w:eastAsia="Arial Unicode MS" w:cstheme="minorHAnsi"/>
                <w:bCs/>
                <w:sz w:val="24"/>
                <w:szCs w:val="24"/>
              </w:rPr>
            </w:pPr>
          </w:p>
        </w:tc>
      </w:tr>
    </w:tbl>
    <w:p w14:paraId="4141A35E" w14:textId="77777777" w:rsidR="00E134BA" w:rsidRPr="00093F2E" w:rsidRDefault="00E134BA" w:rsidP="00757316">
      <w:pPr>
        <w:spacing w:after="0" w:line="240" w:lineRule="auto"/>
        <w:rPr>
          <w:rFonts w:cstheme="minorHAnsi"/>
          <w:b/>
        </w:rPr>
      </w:pPr>
    </w:p>
    <w:sectPr w:rsidR="00E134BA" w:rsidRPr="00093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3DBB" w14:textId="77777777" w:rsidR="00C2517B" w:rsidRDefault="00C2517B" w:rsidP="00D35844">
      <w:pPr>
        <w:spacing w:after="0" w:line="240" w:lineRule="auto"/>
      </w:pPr>
      <w:r>
        <w:separator/>
      </w:r>
    </w:p>
  </w:endnote>
  <w:endnote w:type="continuationSeparator" w:id="0">
    <w:p w14:paraId="6813AC11" w14:textId="77777777" w:rsidR="00C2517B" w:rsidRDefault="00C2517B" w:rsidP="00D3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8D84" w14:textId="77777777" w:rsidR="00C2517B" w:rsidRDefault="00C2517B" w:rsidP="00D35844">
      <w:pPr>
        <w:spacing w:after="0" w:line="240" w:lineRule="auto"/>
      </w:pPr>
      <w:r>
        <w:separator/>
      </w:r>
    </w:p>
  </w:footnote>
  <w:footnote w:type="continuationSeparator" w:id="0">
    <w:p w14:paraId="23808102" w14:textId="77777777" w:rsidR="00C2517B" w:rsidRDefault="00C2517B" w:rsidP="00D3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57B"/>
    <w:multiLevelType w:val="hybridMultilevel"/>
    <w:tmpl w:val="FAAE7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BD5448"/>
    <w:multiLevelType w:val="hybridMultilevel"/>
    <w:tmpl w:val="B1D4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7761E"/>
    <w:multiLevelType w:val="hybridMultilevel"/>
    <w:tmpl w:val="589C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B548A"/>
    <w:multiLevelType w:val="hybridMultilevel"/>
    <w:tmpl w:val="FF5AC570"/>
    <w:lvl w:ilvl="0" w:tplc="07407B14">
      <w:start w:val="1"/>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432F8"/>
    <w:multiLevelType w:val="hybridMultilevel"/>
    <w:tmpl w:val="217C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33709"/>
    <w:multiLevelType w:val="hybridMultilevel"/>
    <w:tmpl w:val="5CC66EFC"/>
    <w:lvl w:ilvl="0" w:tplc="33B88648">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91D02"/>
    <w:multiLevelType w:val="hybridMultilevel"/>
    <w:tmpl w:val="0AA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3044D"/>
    <w:multiLevelType w:val="hybridMultilevel"/>
    <w:tmpl w:val="5680D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1E3256"/>
    <w:multiLevelType w:val="hybridMultilevel"/>
    <w:tmpl w:val="9112E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44"/>
    <w:rsid w:val="0008554B"/>
    <w:rsid w:val="00090FBC"/>
    <w:rsid w:val="00093F2E"/>
    <w:rsid w:val="0009578E"/>
    <w:rsid w:val="000C2D33"/>
    <w:rsid w:val="00111CCA"/>
    <w:rsid w:val="00145281"/>
    <w:rsid w:val="001D1477"/>
    <w:rsid w:val="00203165"/>
    <w:rsid w:val="00233673"/>
    <w:rsid w:val="0028601A"/>
    <w:rsid w:val="00363352"/>
    <w:rsid w:val="00384225"/>
    <w:rsid w:val="003B7805"/>
    <w:rsid w:val="003C6428"/>
    <w:rsid w:val="003F0FAC"/>
    <w:rsid w:val="004C678F"/>
    <w:rsid w:val="0061360F"/>
    <w:rsid w:val="00631C80"/>
    <w:rsid w:val="00682524"/>
    <w:rsid w:val="006908EF"/>
    <w:rsid w:val="00757316"/>
    <w:rsid w:val="007745F1"/>
    <w:rsid w:val="007A04AD"/>
    <w:rsid w:val="007B3687"/>
    <w:rsid w:val="007D622B"/>
    <w:rsid w:val="007F3E64"/>
    <w:rsid w:val="0086693E"/>
    <w:rsid w:val="008C0E19"/>
    <w:rsid w:val="008C63C1"/>
    <w:rsid w:val="00915FA2"/>
    <w:rsid w:val="00954574"/>
    <w:rsid w:val="009947F4"/>
    <w:rsid w:val="009E60F9"/>
    <w:rsid w:val="00A8722A"/>
    <w:rsid w:val="00AA0D78"/>
    <w:rsid w:val="00AE5C1F"/>
    <w:rsid w:val="00B607F0"/>
    <w:rsid w:val="00B7393C"/>
    <w:rsid w:val="00BB2700"/>
    <w:rsid w:val="00BC458D"/>
    <w:rsid w:val="00BF66EF"/>
    <w:rsid w:val="00C2517B"/>
    <w:rsid w:val="00C73D4E"/>
    <w:rsid w:val="00C83514"/>
    <w:rsid w:val="00CD77DF"/>
    <w:rsid w:val="00CF6BBE"/>
    <w:rsid w:val="00D250A4"/>
    <w:rsid w:val="00D316D9"/>
    <w:rsid w:val="00D35844"/>
    <w:rsid w:val="00D60C1B"/>
    <w:rsid w:val="00D75AC9"/>
    <w:rsid w:val="00DF7007"/>
    <w:rsid w:val="00E070ED"/>
    <w:rsid w:val="00E134BA"/>
    <w:rsid w:val="00EC2508"/>
    <w:rsid w:val="00EF7933"/>
    <w:rsid w:val="00FC6305"/>
    <w:rsid w:val="00FD073A"/>
    <w:rsid w:val="41B77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CCE"/>
  <w15:docId w15:val="{28C9EDEA-8702-4B0E-9EA2-01B7ED2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44"/>
  </w:style>
  <w:style w:type="paragraph" w:styleId="Footer">
    <w:name w:val="footer"/>
    <w:basedOn w:val="Normal"/>
    <w:link w:val="FooterChar"/>
    <w:uiPriority w:val="99"/>
    <w:unhideWhenUsed/>
    <w:rsid w:val="00D3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44"/>
  </w:style>
  <w:style w:type="character" w:styleId="Hyperlink">
    <w:name w:val="Hyperlink"/>
    <w:uiPriority w:val="99"/>
    <w:unhideWhenUsed/>
    <w:rsid w:val="00D35844"/>
    <w:rPr>
      <w:color w:val="0000FF"/>
      <w:u w:val="single"/>
    </w:rPr>
  </w:style>
  <w:style w:type="paragraph" w:styleId="NormalWeb">
    <w:name w:val="Normal (Web)"/>
    <w:basedOn w:val="Normal"/>
    <w:uiPriority w:val="99"/>
    <w:semiHidden/>
    <w:unhideWhenUsed/>
    <w:rsid w:val="00D358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A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0FBC"/>
    <w:pPr>
      <w:spacing w:after="0" w:line="240" w:lineRule="auto"/>
    </w:pPr>
    <w:rPr>
      <w:rFonts w:ascii="Calibri" w:eastAsia="Calibri" w:hAnsi="Calibri" w:cs="Times New Roman"/>
    </w:rPr>
  </w:style>
  <w:style w:type="paragraph" w:styleId="ListParagraph">
    <w:name w:val="List Paragraph"/>
    <w:basedOn w:val="Normal"/>
    <w:uiPriority w:val="34"/>
    <w:qFormat/>
    <w:rsid w:val="00E070ED"/>
    <w:pPr>
      <w:spacing w:after="200" w:line="276" w:lineRule="auto"/>
      <w:ind w:left="720"/>
      <w:contextualSpacing/>
    </w:pPr>
    <w:rPr>
      <w:rFonts w:ascii="Arial" w:eastAsia="SimHei" w:hAnsi="Arial" w:cs="Arial"/>
      <w:lang w:eastAsia="zh-CN"/>
    </w:rPr>
  </w:style>
  <w:style w:type="paragraph" w:styleId="BalloonText">
    <w:name w:val="Balloon Text"/>
    <w:basedOn w:val="Normal"/>
    <w:link w:val="BalloonTextChar"/>
    <w:uiPriority w:val="99"/>
    <w:semiHidden/>
    <w:unhideWhenUsed/>
    <w:rsid w:val="0095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74"/>
    <w:rPr>
      <w:rFonts w:ascii="Tahoma" w:hAnsi="Tahoma" w:cs="Tahoma"/>
      <w:sz w:val="16"/>
      <w:szCs w:val="16"/>
    </w:rPr>
  </w:style>
  <w:style w:type="table" w:customStyle="1" w:styleId="TableGrid1">
    <w:name w:val="Table Grid1"/>
    <w:basedOn w:val="TableNormal"/>
    <w:next w:val="TableGrid"/>
    <w:uiPriority w:val="59"/>
    <w:rsid w:val="00E134B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51BC-D9EB-47C9-A5FC-FBEE2749DAD1}">
  <ds:schemaRefs>
    <ds:schemaRef ds:uri="http://schemas.microsoft.com/sharepoint/v3/contenttype/forms"/>
  </ds:schemaRefs>
</ds:datastoreItem>
</file>

<file path=customXml/itemProps2.xml><?xml version="1.0" encoding="utf-8"?>
<ds:datastoreItem xmlns:ds="http://schemas.openxmlformats.org/officeDocument/2006/customXml" ds:itemID="{791539E1-B69C-4681-A130-9307694E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CAD6C-0EA1-4715-99BC-FE301324DC45}">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89e50f9b-d687-48d2-ac14-a850e9ea868f"/>
    <ds:schemaRef ds:uri="f249825c-66e0-452a-b043-618c93615ec5"/>
    <ds:schemaRef ds:uri="2756d948-435b-4224-8fdc-fcfc5a463da0"/>
  </ds:schemaRefs>
</ds:datastoreItem>
</file>

<file path=customXml/itemProps4.xml><?xml version="1.0" encoding="utf-8"?>
<ds:datastoreItem xmlns:ds="http://schemas.openxmlformats.org/officeDocument/2006/customXml" ds:itemID="{1ACFDEB4-0726-4FCF-AFCC-C796F2FB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Tracy Priestman</dc:creator>
  <cp:lastModifiedBy>(su) Tracy Priestman</cp:lastModifiedBy>
  <cp:revision>2</cp:revision>
  <dcterms:created xsi:type="dcterms:W3CDTF">2022-11-08T11:47:00Z</dcterms:created>
  <dcterms:modified xsi:type="dcterms:W3CDTF">2022-11-08T11:47:00Z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ies>
</file>